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MESURES D'AMÉLIORATION 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Convention annuelle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[annee]</w:t>
      </w: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1276"/>
        <w:gridCol w:w="2693"/>
        <w:tblGridChange w:id="0">
          <w:tblGrid>
            <w:gridCol w:w="5100"/>
            <w:gridCol w:w="1276"/>
            <w:gridCol w:w="2693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Concernant cette formation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avant le début de la formation (programme / tarifs)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Programme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Compétences acquises par le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au terme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administrative globale du dossier de votre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Adéquation globale de la formation vis-à-vis de vos attentes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En cas d’insatisfaction sur l’un des éléments précédents, pourriez-vous préciser pourquoi vous n’êtes pas satisfait : 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-241299</wp:posOffset>
              </wp:positionV>
              <wp:extent cx="1447800" cy="3267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-241299</wp:posOffset>
              </wp:positionV>
              <wp:extent cx="1447800" cy="3267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XoSOZidC9BCNEUSzNAlbRaoJA==">CgMxLjAyCGguZ2pkZ3hzOAByITFhOVlZVG9tX3Q0elktRnFueDhRaGZFczZ3R0dQMktoRg==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2022-06-28T18:34:00Z</dcterms:created>
</cp:coreProperties>
</file>