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PROCÉDURE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 DE GESTION ET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PRÉVENTION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 DES ABANDONS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L’assiduité à la formation est la principale condition à l’acquisition des compétences délivrées par la formation. Gérer et prévenir les abandons est donc une nécessité pour garantir la réussite de l’action de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C’est pourquoi chez 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nous mettons tous les moyens en œuvre pour faire en sorte que la formation se passe du mieux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i w:val="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vertAlign w:val="baseline"/>
          <w:rtl w:val="0"/>
        </w:rPr>
        <w:t xml:space="preserve">Nous nous assurons de remplir des feuilles de présence pour chaque journée de formation. Nous disposons également d’un processus de gestion des absences que voici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ABSENCE PRÉVUE ET JUSTIFIÉE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29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Absence prévue et justifiée ou imprévue mais justifiée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152400</wp:posOffset>
                      </wp:positionV>
                      <wp:extent cx="415925" cy="200025"/>
                      <wp:effectExtent b="0" l="0" r="0" t="0"/>
                      <wp:wrapNone/>
                      <wp:docPr id="10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150791" y="3692670"/>
                                <a:ext cx="390418" cy="17466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472C4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152400</wp:posOffset>
                      </wp:positionV>
                      <wp:extent cx="415925" cy="200025"/>
                      <wp:effectExtent b="0" l="0" r="0" t="0"/>
                      <wp:wrapNone/>
                      <wp:docPr id="104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5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3188.4999999999995" w:tblpY="29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Proposition d’une autre session par mail ou par téléphone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6376.999999999999" w:tblpY="29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Considéré comme une absence justifiée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355600</wp:posOffset>
                </wp:positionV>
                <wp:extent cx="415925" cy="200025"/>
                <wp:effectExtent b="0" l="0" r="0" t="0"/>
                <wp:wrapNone/>
                <wp:docPr id="104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50791" y="3692670"/>
                          <a:ext cx="390418" cy="17466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355600</wp:posOffset>
                </wp:positionV>
                <wp:extent cx="415925" cy="200025"/>
                <wp:effectExtent b="0" l="0" r="0" t="0"/>
                <wp:wrapNone/>
                <wp:docPr id="10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9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ABSENCE IMPRÉVUE ET/OU NON JUSTIFIÉE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3188.4999999999995" w:tblpY="0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Absence imprévue et/ou non justifiée</w:t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254000</wp:posOffset>
                </wp:positionV>
                <wp:extent cx="200025" cy="323215"/>
                <wp:effectExtent b="0" l="0" r="0" t="0"/>
                <wp:wrapNone/>
                <wp:docPr id="105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254000</wp:posOffset>
                </wp:positionV>
                <wp:extent cx="200025" cy="323215"/>
                <wp:effectExtent b="0" l="0" r="0" t="0"/>
                <wp:wrapNone/>
                <wp:docPr id="105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3188.4999999999995" w:tblpY="18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Contact par téléphone et/ou mail pour plus d’informations</w:t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25400</wp:posOffset>
                </wp:positionV>
                <wp:extent cx="200025" cy="323215"/>
                <wp:effectExtent b="0" l="0" r="0" t="0"/>
                <wp:wrapNone/>
                <wp:docPr id="105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25400</wp:posOffset>
                </wp:positionV>
                <wp:extent cx="200025" cy="323215"/>
                <wp:effectExtent b="0" l="0" r="0" t="0"/>
                <wp:wrapNone/>
                <wp:docPr id="105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927100</wp:posOffset>
                </wp:positionV>
                <wp:extent cx="200025" cy="32321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927100</wp:posOffset>
                </wp:positionV>
                <wp:extent cx="200025" cy="323215"/>
                <wp:effectExtent b="0" l="0" r="0" t="0"/>
                <wp:wrapNone/>
                <wp:docPr id="10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25400</wp:posOffset>
                </wp:positionV>
                <wp:extent cx="200025" cy="32321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25400</wp:posOffset>
                </wp:positionV>
                <wp:extent cx="200025" cy="323215"/>
                <wp:effectExtent b="0" l="0" r="0" t="0"/>
                <wp:wrapNone/>
                <wp:docPr id="10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927100</wp:posOffset>
                </wp:positionV>
                <wp:extent cx="200025" cy="323215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927100</wp:posOffset>
                </wp:positionV>
                <wp:extent cx="200025" cy="323215"/>
                <wp:effectExtent b="0" l="0" r="0" t="0"/>
                <wp:wrapNone/>
                <wp:docPr id="104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927100</wp:posOffset>
                </wp:positionV>
                <wp:extent cx="200025" cy="323215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927100</wp:posOffset>
                </wp:positionV>
                <wp:extent cx="200025" cy="323215"/>
                <wp:effectExtent b="0" l="0" r="0" t="0"/>
                <wp:wrapNone/>
                <wp:docPr id="104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38100</wp:posOffset>
                </wp:positionV>
                <wp:extent cx="200025" cy="32321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38100</wp:posOffset>
                </wp:positionV>
                <wp:extent cx="200025" cy="323215"/>
                <wp:effectExtent b="0" l="0" r="0" t="0"/>
                <wp:wrapNone/>
                <wp:docPr id="10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pPr w:leftFromText="141" w:rightFromText="141" w:topFromText="0" w:bottomFromText="0" w:vertAnchor="text" w:horzAnchor="text" w:tblpX="0" w:tblpY="122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Réponse avec justificatif</w:t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3188.4999999999995" w:tblpY="10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Réponse avec mention d’un problème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41" w:rightFromText="141" w:topFromText="0" w:bottomFromText="0" w:vertAnchor="text" w:horzAnchor="text" w:tblpX="6376.999999999999" w:tblpY="106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Absence de réponse</w:t>
            </w:r>
          </w:p>
        </w:tc>
      </w:tr>
    </w:tbl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1219200</wp:posOffset>
                </wp:positionV>
                <wp:extent cx="1322292" cy="1258391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3403732">
                          <a:off x="5241494" y="3236771"/>
                          <a:ext cx="209013" cy="1086458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1219200</wp:posOffset>
                </wp:positionV>
                <wp:extent cx="1322292" cy="1258391"/>
                <wp:effectExtent b="0" l="0" r="0" t="0"/>
                <wp:wrapNone/>
                <wp:docPr id="10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292" cy="1258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pPr w:leftFromText="141" w:rightFromText="141" w:topFromText="0" w:bottomFromText="0" w:vertAnchor="text" w:horzAnchor="text" w:tblpX="0" w:tblpY="0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Proposition d’une autre cession</w:t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41" w:rightFromText="141" w:topFromText="0" w:bottomFromText="0" w:vertAnchor="text" w:horzAnchor="text" w:tblpX="3188.4999999999995" w:tblpY="0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Proposition d’une autre cession et recherche d’un consensus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41" w:rightFromText="141" w:topFromText="0" w:bottomFromText="0" w:vertAnchor="text" w:horzAnchor="text" w:tblpX="6376.999999999999" w:tblpY="0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Relance tous les 3 jours pendant 2 semaines pour plus d’informations</w:t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596900</wp:posOffset>
                </wp:positionV>
                <wp:extent cx="200025" cy="323215"/>
                <wp:effectExtent b="0" l="0" r="0" t="0"/>
                <wp:wrapNone/>
                <wp:docPr id="105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596900</wp:posOffset>
                </wp:positionV>
                <wp:extent cx="200025" cy="323215"/>
                <wp:effectExtent b="0" l="0" r="0" t="0"/>
                <wp:wrapNone/>
                <wp:docPr id="105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596900</wp:posOffset>
                </wp:positionV>
                <wp:extent cx="200025" cy="323215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8670" y="3631025"/>
                          <a:ext cx="174660" cy="2979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596900</wp:posOffset>
                </wp:positionV>
                <wp:extent cx="200025" cy="323215"/>
                <wp:effectExtent b="0" l="0" r="0" t="0"/>
                <wp:wrapNone/>
                <wp:docPr id="104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23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4"/>
        <w:tblpPr w:leftFromText="141" w:rightFromText="141" w:topFromText="0" w:bottomFromText="0" w:vertAnchor="text" w:horzAnchor="text" w:tblpX="6376.999999999999" w:tblpY="62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Considéré comme un abandon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41" w:rightFromText="141" w:topFromText="0" w:bottomFromText="0" w:vertAnchor="text" w:horzAnchor="text" w:tblpX="0" w:tblpY="78"/>
        <w:tblW w:w="2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Considéré comme une absence justifiée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color w:val="222b31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b31"/>
          <w:highlight w:val="white"/>
          <w:vertAlign w:val="baseline"/>
          <w:rtl w:val="0"/>
        </w:rPr>
        <w:t xml:space="preserve">En cas d’abandon avéré, nous allons chercher à déterminer cette cause afin de faire en sorte que cela ne se reproduise plus. Il y a 2 cas de figure :</w:t>
      </w:r>
      <w:r w:rsidDel="00000000" w:rsidR="00000000" w:rsidRPr="00000000">
        <w:rPr>
          <w:rFonts w:ascii="Arial" w:cs="Arial" w:eastAsia="Arial" w:hAnsi="Arial"/>
          <w:color w:val="222b31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b31"/>
          <w:highlight w:val="white"/>
          <w:vertAlign w:val="baseline"/>
          <w:rtl w:val="0"/>
        </w:rPr>
        <w:t xml:space="preserve">- L’abandon résulte d’une cause personnelle et propre au stagiaire : il n’y aura donc pas de remise en question de la part du formateur sur sa formation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b31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b31"/>
          <w:highlight w:val="white"/>
          <w:vertAlign w:val="baseline"/>
          <w:rtl w:val="0"/>
        </w:rPr>
        <w:t xml:space="preserve">- L’abandon est directement lié à la formation elle-même : nous allons chercher à comprendre ce qui n’allait pas et essayer de remédier à ce problème</w:t>
      </w:r>
      <w:r w:rsidDel="00000000" w:rsidR="00000000" w:rsidRPr="00000000">
        <w:rPr>
          <w:rFonts w:ascii="Arial" w:cs="Arial" w:eastAsia="Arial" w:hAnsi="Arial"/>
          <w:color w:val="222b31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b31"/>
          <w:highlight w:val="white"/>
          <w:vertAlign w:val="baseline"/>
          <w:rtl w:val="0"/>
        </w:rPr>
        <w:t xml:space="preserve">Enfin, si aucune réponse ne peut être apportée quant aux causes de l’abandon, notamment à cause d’une absence de réponse totale aux relances, alors nous considérerons que cela n’était pas de notre ressort.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40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4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60" w:before="0" w:line="259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5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-253999</wp:posOffset>
              </wp:positionV>
              <wp:extent cx="1447800" cy="298133"/>
              <wp:effectExtent b="0" l="0" r="0" t="0"/>
              <wp:wrapNone/>
              <wp:docPr id="104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-253999</wp:posOffset>
              </wp:positionV>
              <wp:extent cx="1447800" cy="298133"/>
              <wp:effectExtent b="0" l="0" r="0" t="0"/>
              <wp:wrapNone/>
              <wp:docPr id="104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981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entury Gothic" w:cs="Century Gothic" w:eastAsia="Century Gothic" w:hAnsi="Century Gothic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entury Gothic" w:cs="Century Gothic" w:eastAsia="Century Gothic" w:hAnsi="Century Gothic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entury Gothic" w:cs="Century Gothic" w:eastAsia="Century Gothic" w:hAnsi="Century Gothic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pGraOE98ffV5/0vQZ288gXgHKA==">CgMxLjA4AHIhMWJIeF9iaU92WHFZRnRCWHViY21DZnZENEN6dFlzMy14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2022-06-29T10:15:00Z</dcterms:created>
  <dc:creator>Marie DELAHAYE</dc:creator>
</cp:coreProperties>
</file>