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sz w:val="36"/>
          <w:szCs w:val="36"/>
          <w:vertAlign w:val="baseline"/>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0"/>
          <w:i w:val="0"/>
          <w:sz w:val="36"/>
          <w:szCs w:val="36"/>
          <w:vertAlign w:val="baseline"/>
        </w:rPr>
      </w:pPr>
      <w:r w:rsidDel="00000000" w:rsidR="00000000" w:rsidRPr="00000000">
        <w:rPr>
          <w:rFonts w:ascii="Arial" w:cs="Arial" w:eastAsia="Arial" w:hAnsi="Arial"/>
          <w:b w:val="1"/>
          <w:i w:val="1"/>
          <w:sz w:val="36"/>
          <w:szCs w:val="36"/>
          <w:vertAlign w:val="baseline"/>
          <w:rtl w:val="0"/>
        </w:rPr>
        <w:t xml:space="preserve">ACCESSIBILITE</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En application de l’article 47 de la loi nº 2005-102 du 11 février 2005 et du décret n° 2019-768 du 24 juillet 2019 ce document présente la politique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en matière d’accessibilité numérique.</w:t>
      </w:r>
    </w:p>
    <w:p w:rsidR="00000000" w:rsidDel="00000000" w:rsidP="00000000" w:rsidRDefault="00000000" w:rsidRPr="00000000" w14:paraId="00000005">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RESPONSABLE ACCESSIBILITE NUMERIQUE</w:t>
      </w:r>
      <w:r w:rsidDel="00000000" w:rsidR="00000000" w:rsidRPr="00000000">
        <w:rPr>
          <w:rtl w:val="0"/>
        </w:rPr>
      </w:r>
    </w:p>
    <w:p w:rsidR="00000000" w:rsidDel="00000000" w:rsidP="00000000" w:rsidRDefault="00000000" w:rsidRPr="00000000" w14:paraId="00000007">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veiller continuellement à l’accessibilité des contenus numériques,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color w:val="c00000"/>
          <w:vertAlign w:val="baseline"/>
          <w:rtl w:val="0"/>
        </w:rPr>
        <w:t xml:space="preserve"> </w:t>
      </w:r>
      <w:r w:rsidDel="00000000" w:rsidR="00000000" w:rsidRPr="00000000">
        <w:rPr>
          <w:rFonts w:ascii="Arial" w:cs="Arial" w:eastAsia="Arial" w:hAnsi="Arial"/>
          <w:vertAlign w:val="baseline"/>
          <w:rtl w:val="0"/>
        </w:rPr>
        <w:t xml:space="preserve">a nommé un responsable de l’accessibilité numérique.</w:t>
      </w:r>
    </w:p>
    <w:p w:rsidR="00000000" w:rsidDel="00000000" w:rsidP="00000000" w:rsidRDefault="00000000" w:rsidRPr="00000000" w14:paraId="00000008">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Celui-ci a pour missions :</w:t>
      </w:r>
    </w:p>
    <w:p w:rsidR="00000000" w:rsidDel="00000000" w:rsidP="00000000" w:rsidRDefault="00000000" w:rsidRPr="00000000" w14:paraId="00000009">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De veiller à la mise en place de processus pour l'accessibilité des contenus numériques ;</w:t>
      </w:r>
      <w:r w:rsidDel="00000000" w:rsidR="00000000" w:rsidRPr="00000000">
        <w:rPr>
          <w:rtl w:val="0"/>
        </w:rPr>
      </w:r>
    </w:p>
    <w:p w:rsidR="00000000" w:rsidDel="00000000" w:rsidP="00000000" w:rsidRDefault="00000000" w:rsidRPr="00000000" w14:paraId="0000000A">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De rendre compte au responsable de la formation des contenus et des services numériques, ainsi que de tout besoin d'amélioration ;</w:t>
      </w:r>
      <w:r w:rsidDel="00000000" w:rsidR="00000000" w:rsidRPr="00000000">
        <w:rPr>
          <w:rtl w:val="0"/>
        </w:rPr>
      </w:r>
    </w:p>
    <w:p w:rsidR="00000000" w:rsidDel="00000000" w:rsidP="00000000" w:rsidRDefault="00000000" w:rsidRPr="00000000" w14:paraId="0000000B">
      <w:pPr>
        <w:numPr>
          <w:ilvl w:val="0"/>
          <w:numId w:val="2"/>
        </w:numPr>
        <w:pBdr>
          <w:top w:space="0" w:sz="0" w:val="nil"/>
          <w:left w:space="0" w:sz="0" w:val="nil"/>
          <w:bottom w:space="0" w:sz="0" w:val="nil"/>
          <w:right w:space="0" w:sz="0" w:val="nil"/>
          <w:between w:space="0" w:sz="0" w:val="nil"/>
        </w:pBdr>
        <w:spacing w:after="0" w:lineRule="auto"/>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De s'assurer que la sensibilisation aux exigences de l'accessibilité est encouragée dans l’établissement ;</w:t>
      </w:r>
      <w:r w:rsidDel="00000000" w:rsidR="00000000" w:rsidRPr="00000000">
        <w:rPr>
          <w:rtl w:val="0"/>
        </w:rPr>
      </w:r>
    </w:p>
    <w:p w:rsidR="00000000" w:rsidDel="00000000" w:rsidP="00000000" w:rsidRDefault="00000000" w:rsidRPr="00000000" w14:paraId="0000000C">
      <w:pPr>
        <w:numPr>
          <w:ilvl w:val="0"/>
          <w:numId w:val="2"/>
        </w:numPr>
        <w:pBdr>
          <w:top w:space="0" w:sz="0" w:val="nil"/>
          <w:left w:space="0" w:sz="0" w:val="nil"/>
          <w:bottom w:space="0" w:sz="0" w:val="nil"/>
          <w:right w:space="0" w:sz="0" w:val="nil"/>
          <w:between w:space="0" w:sz="0" w:val="nil"/>
        </w:pBdr>
        <w:ind w:left="720" w:hanging="360"/>
        <w:rPr>
          <w:rFonts w:ascii="Arial" w:cs="Arial" w:eastAsia="Arial" w:hAnsi="Arial"/>
          <w:vertAlign w:val="baseline"/>
        </w:rPr>
      </w:pPr>
      <w:r w:rsidDel="00000000" w:rsidR="00000000" w:rsidRPr="00000000">
        <w:rPr>
          <w:rFonts w:ascii="Arial" w:cs="Arial" w:eastAsia="Arial" w:hAnsi="Arial"/>
          <w:color w:val="000000"/>
          <w:vertAlign w:val="baseline"/>
          <w:rtl w:val="0"/>
        </w:rPr>
        <w:t xml:space="preserve">D’être l'interlocuteur premier sur tous les sujets d'accessibilité numérique.</w:t>
      </w:r>
      <w:r w:rsidDel="00000000" w:rsidR="00000000" w:rsidRPr="00000000">
        <w:rPr>
          <w:rtl w:val="0"/>
        </w:rPr>
      </w:r>
    </w:p>
    <w:p w:rsidR="00000000" w:rsidDel="00000000" w:rsidP="00000000" w:rsidRDefault="00000000" w:rsidRPr="00000000" w14:paraId="0000000D">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ind w:left="720" w:hanging="360"/>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ACTION DE FORMATION ET DE SENSIBILISATION</w:t>
      </w:r>
      <w:r w:rsidDel="00000000" w:rsidR="00000000" w:rsidRPr="00000000">
        <w:rPr>
          <w:rtl w:val="0"/>
        </w:rPr>
      </w:r>
    </w:p>
    <w:p w:rsidR="00000000" w:rsidDel="00000000" w:rsidP="00000000" w:rsidRDefault="00000000" w:rsidRPr="00000000" w14:paraId="0000000F">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répondre au besoin de sensibilisation et de formation des membres de </w:t>
      </w:r>
      <w:r w:rsidDel="00000000" w:rsidR="00000000" w:rsidRPr="00000000">
        <w:rPr>
          <w:rFonts w:ascii="Arial" w:cs="Arial" w:eastAsia="Arial" w:hAnsi="Arial"/>
          <w:color w:val="c00000"/>
          <w:rtl w:val="0"/>
        </w:rPr>
        <w:t xml:space="preserve">[nom_organisme] </w:t>
      </w:r>
      <w:r w:rsidDel="00000000" w:rsidR="00000000" w:rsidRPr="00000000">
        <w:rPr>
          <w:rFonts w:ascii="Arial" w:cs="Arial" w:eastAsia="Arial" w:hAnsi="Arial"/>
          <w:vertAlign w:val="baseline"/>
          <w:rtl w:val="0"/>
        </w:rPr>
        <w:t xml:space="preserve">, un plan de formation sera déroulé sur les trois prochaines années. Ces formations seront réalisées selon la méthode la plus appropriée pour répondre aux spécificités de la formation, soit par des dispositifs à distance synchrones ou asynchrones, soit par des dispositifs en présentiel.</w:t>
      </w:r>
    </w:p>
    <w:p w:rsidR="00000000" w:rsidDel="00000000" w:rsidP="00000000" w:rsidRDefault="00000000" w:rsidRPr="00000000" w14:paraId="00000010">
      <w:pPr>
        <w:jc w:val="both"/>
        <w:rPr>
          <w:rFonts w:ascii="Arial" w:cs="Arial" w:eastAsia="Arial" w:hAnsi="Arial"/>
          <w:vertAlign w:val="baseline"/>
        </w:rPr>
      </w:pPr>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b w:val="0"/>
          <w:color w:val="000000"/>
          <w:vertAlign w:val="baseline"/>
        </w:rPr>
      </w:pPr>
      <w:r w:rsidDel="00000000" w:rsidR="00000000" w:rsidRPr="00000000">
        <w:rPr>
          <w:rFonts w:ascii="Arial" w:cs="Arial" w:eastAsia="Arial" w:hAnsi="Arial"/>
          <w:b w:val="1"/>
          <w:color w:val="000000"/>
          <w:vertAlign w:val="baseline"/>
          <w:rtl w:val="0"/>
        </w:rPr>
        <w:t xml:space="preserve">GUIDE DES BONNES PRATIQUES</w:t>
      </w:r>
      <w:r w:rsidDel="00000000" w:rsidR="00000000" w:rsidRPr="00000000">
        <w:rPr>
          <w:rtl w:val="0"/>
        </w:rPr>
      </w:r>
    </w:p>
    <w:p w:rsidR="00000000" w:rsidDel="00000000" w:rsidP="00000000" w:rsidRDefault="00000000" w:rsidRPr="00000000" w14:paraId="00000012">
      <w:pPr>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Pour que la prise en compte de l’accessibilité dans la fabrication des contenus et la mise en place des services numériques deviennent des éléments de la qualité, chaque pôle intègrera les bonnes pratiques de l’accessibilité adaptées à ses contenus et outils. Cette adaptation sera issue des expériences faites lors de nos formations.</w:t>
      </w:r>
    </w:p>
    <w:sectPr>
      <w:headerReference r:id="rId7" w:type="default"/>
      <w:headerReference r:id="rId8" w:type="first"/>
      <w:headerReference r:id="rId9" w:type="even"/>
      <w:footerReference r:id="rId10" w:type="default"/>
      <w:footerReference r:id="rId11" w:type="first"/>
      <w:footerReference r:id="rId12" w:type="even"/>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leader="none" w:pos="4536"/>
        <w:tab w:val="right" w:leader="none" w:pos="9072"/>
      </w:tabs>
      <w:ind w:hanging="2"/>
      <w:jc w:val="right"/>
      <w:rPr>
        <w:color w:val="bfbfbf"/>
        <w:sz w:val="16"/>
        <w:szCs w:val="16"/>
        <w:vertAlign w:val="baseline"/>
      </w:rPr>
    </w:pPr>
    <w:r w:rsidDel="00000000" w:rsidR="00000000" w:rsidRPr="00000000">
      <w:rPr>
        <w:color w:val="bfbfbf"/>
        <w:sz w:val="16"/>
        <w:szCs w:val="16"/>
        <w:vertAlign w:val="baseline"/>
        <w:rtl w:val="0"/>
      </w:rPr>
      <w:t xml:space="preserve">Document actualisé le </w:t>
    </w:r>
    <w:r w:rsidDel="00000000" w:rsidR="00000000" w:rsidRPr="00000000">
      <w:rPr>
        <w:color w:val="c00000"/>
        <w:sz w:val="16"/>
        <w:szCs w:val="16"/>
        <w:vertAlign w:val="baseline"/>
        <w:rtl w:val="0"/>
      </w:rPr>
      <w:t xml:space="preserve">[date]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c00000"/>
        <w:sz w:val="16"/>
        <w:szCs w:val="16"/>
        <w:rtl w:val="0"/>
      </w:rPr>
      <w:t xml:space="preserve">[nom_organisme] </w:t>
    </w:r>
    <w:r w:rsidDel="00000000" w:rsidR="00000000" w:rsidRPr="00000000">
      <w:rPr>
        <w:color w:val="c00000"/>
        <w:sz w:val="16"/>
        <w:szCs w:val="16"/>
        <w:vertAlign w:val="baseline"/>
        <w:rtl w:val="0"/>
      </w:rPr>
      <w:t xml:space="preserve"> </w:t>
    </w:r>
    <w:r w:rsidDel="00000000" w:rsidR="00000000" w:rsidRPr="00000000">
      <w:rPr>
        <w:color w:val="c00000"/>
        <w:sz w:val="16"/>
        <w:szCs w:val="16"/>
        <w:rtl w:val="0"/>
      </w:rPr>
      <w:t xml:space="preserve">[adresse] </w:t>
    </w:r>
    <w:r w:rsidDel="00000000" w:rsidR="00000000" w:rsidRPr="00000000">
      <w:rPr>
        <w:color w:val="c00000"/>
        <w:sz w:val="16"/>
        <w:szCs w:val="16"/>
        <w:vertAlign w:val="baseline"/>
        <w:rtl w:val="0"/>
      </w:rPr>
      <w:t xml:space="preserve"> - </w:t>
    </w:r>
    <w:r w:rsidDel="00000000" w:rsidR="00000000" w:rsidRPr="00000000">
      <w:rPr>
        <w:color w:val="bfbfbf"/>
        <w:sz w:val="16"/>
        <w:szCs w:val="16"/>
        <w:vertAlign w:val="baseline"/>
        <w:rtl w:val="0"/>
      </w:rPr>
      <w:t xml:space="preserve">Siret :</w:t>
    </w:r>
    <w:r w:rsidDel="00000000" w:rsidR="00000000" w:rsidRPr="00000000">
      <w:rPr>
        <w:color w:val="c00000"/>
        <w:sz w:val="16"/>
        <w:szCs w:val="16"/>
        <w:vertAlign w:val="baseline"/>
        <w:rtl w:val="0"/>
      </w:rPr>
      <w:t xml:space="preserve"> </w:t>
    </w:r>
    <w:r w:rsidDel="00000000" w:rsidR="00000000" w:rsidRPr="00000000">
      <w:rPr>
        <w:color w:val="c00000"/>
        <w:sz w:val="16"/>
        <w:szCs w:val="16"/>
        <w:rtl w:val="0"/>
      </w:rPr>
      <w:t xml:space="preserve">[siret] </w:t>
    </w:r>
    <w:r w:rsidDel="00000000" w:rsidR="00000000" w:rsidRPr="00000000">
      <w:rPr>
        <w:color w:val="c00000"/>
        <w:sz w:val="16"/>
        <w:szCs w:val="16"/>
        <w:vertAlign w:val="baseline"/>
        <w:rtl w:val="0"/>
      </w:rPr>
      <w:t xml:space="preserve"> </w:t>
    </w:r>
    <w:r w:rsidDel="00000000" w:rsidR="00000000" w:rsidRPr="00000000">
      <w:rPr>
        <w:color w:val="bfbfbf"/>
        <w:sz w:val="16"/>
        <w:szCs w:val="16"/>
        <w:vertAlign w:val="baseline"/>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bfbfbf"/>
        <w:sz w:val="16"/>
        <w:szCs w:val="16"/>
        <w:vertAlign w:val="baseline"/>
      </w:rPr>
    </w:pPr>
    <w:r w:rsidDel="00000000" w:rsidR="00000000" w:rsidRPr="00000000">
      <w:rPr>
        <w:color w:val="bfbfbf"/>
        <w:sz w:val="16"/>
        <w:szCs w:val="16"/>
        <w:vertAlign w:val="baseline"/>
        <w:rtl w:val="0"/>
      </w:rPr>
      <w:t xml:space="preserve">Enregistré sous le n°</w:t>
    </w:r>
    <w:r w:rsidDel="00000000" w:rsidR="00000000" w:rsidRPr="00000000">
      <w:rPr>
        <w:color w:val="c00000"/>
        <w:sz w:val="16"/>
        <w:szCs w:val="16"/>
        <w:rtl w:val="0"/>
      </w:rPr>
      <w:t xml:space="preserve">[nda] </w:t>
    </w:r>
    <w:r w:rsidDel="00000000" w:rsidR="00000000" w:rsidRPr="00000000">
      <w:rPr>
        <w:color w:val="bfbfbf"/>
        <w:sz w:val="16"/>
        <w:szCs w:val="16"/>
        <w:vertAlign w:val="baseline"/>
        <w:rtl w:val="0"/>
      </w:rPr>
      <w:t xml:space="preserve"> auprès du préfet de région : </w:t>
    </w:r>
    <w:r w:rsidDel="00000000" w:rsidR="00000000" w:rsidRPr="00000000">
      <w:rPr>
        <w:color w:val="bfbfbf"/>
        <w:sz w:val="16"/>
        <w:szCs w:val="16"/>
        <w:rtl w:val="0"/>
      </w:rPr>
      <w:t xml:space="preserve">[region]  </w:t>
    </w:r>
    <w:r w:rsidDel="00000000" w:rsidR="00000000" w:rsidRPr="00000000">
      <w:rPr>
        <w:color w:val="bfbfbf"/>
        <w:sz w:val="16"/>
        <w:szCs w:val="16"/>
        <w:vertAlign w:val="baseline"/>
        <w:rtl w:val="0"/>
      </w:rPr>
      <w:t xml:space="preserve"> – </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000000"/>
        <w:sz w:val="16"/>
        <w:szCs w:val="16"/>
        <w:vertAlign w:val="baseline"/>
      </w:rPr>
    </w:pPr>
    <w:r w:rsidDel="00000000" w:rsidR="00000000" w:rsidRPr="00000000">
      <w:rPr>
        <w:i w:val="1"/>
        <w:color w:val="bfbfbf"/>
        <w:sz w:val="16"/>
        <w:szCs w:val="16"/>
        <w:vertAlign w:val="baseline"/>
        <w:rtl w:val="0"/>
      </w:rPr>
      <w:t xml:space="preserve">Cet enregistrement ne vaut pas agrément de l’État</w:t>
    </w:r>
    <w:r w:rsidDel="00000000" w:rsidR="00000000" w:rsidRPr="00000000">
      <w:rPr>
        <w:color w:val="bfbfbf"/>
        <w:sz w:val="16"/>
        <w:szCs w:val="16"/>
        <w:vertAlign w:val="baseline"/>
        <w:rtl w:val="0"/>
      </w:rPr>
      <w:t xml:space="preserve">- Naf : </w:t>
    </w:r>
    <w:r w:rsidDel="00000000" w:rsidR="00000000" w:rsidRPr="00000000">
      <w:rPr>
        <w:color w:val="c00000"/>
        <w:sz w:val="16"/>
        <w:szCs w:val="16"/>
        <w:rtl w:val="0"/>
      </w:rPr>
      <w:t xml:space="preserve">[ape] </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TVA : </w:t>
    </w:r>
    <w:r w:rsidDel="00000000" w:rsidR="00000000" w:rsidRPr="00000000">
      <w:rPr>
        <w:color w:val="c00000"/>
        <w:sz w:val="16"/>
        <w:szCs w:val="16"/>
        <w:rtl w:val="0"/>
      </w:rPr>
      <w:t xml:space="preserve">[TVA] </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leader="none" w:pos="4536"/>
        <w:tab w:val="right" w:leader="none" w:pos="9072"/>
      </w:tabs>
      <w:spacing w:after="0" w:lineRule="auto"/>
      <w:jc w:val="center"/>
      <w:rPr>
        <w:color w:val="c00000"/>
        <w:sz w:val="16"/>
        <w:szCs w:val="16"/>
        <w:vertAlign w:val="baseline"/>
      </w:rPr>
    </w:pPr>
    <w:r w:rsidDel="00000000" w:rsidR="00000000" w:rsidRPr="00000000">
      <w:rPr>
        <w:color w:val="bfbfbf"/>
        <w:sz w:val="16"/>
        <w:szCs w:val="16"/>
        <w:vertAlign w:val="baseline"/>
        <w:rtl w:val="0"/>
      </w:rPr>
      <w:t xml:space="preserve">RCS</w:t>
    </w:r>
    <w:r w:rsidDel="00000000" w:rsidR="00000000" w:rsidRPr="00000000">
      <w:rPr>
        <w:color w:val="000000"/>
        <w:sz w:val="16"/>
        <w:szCs w:val="16"/>
        <w:vertAlign w:val="baseline"/>
        <w:rtl w:val="0"/>
      </w:rPr>
      <w:t xml:space="preserve"> </w:t>
    </w:r>
    <w:r w:rsidDel="00000000" w:rsidR="00000000" w:rsidRPr="00000000">
      <w:rPr>
        <w:color w:val="c00000"/>
        <w:sz w:val="16"/>
        <w:szCs w:val="16"/>
        <w:rtl w:val="0"/>
      </w:rPr>
      <w:t xml:space="preserve">[ville_greffe] </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Tel :</w:t>
    </w:r>
    <w:r w:rsidDel="00000000" w:rsidR="00000000" w:rsidRPr="00000000">
      <w:rPr>
        <w:color w:val="000000"/>
        <w:sz w:val="16"/>
        <w:szCs w:val="16"/>
        <w:vertAlign w:val="baseline"/>
        <w:rtl w:val="0"/>
      </w:rPr>
      <w:t xml:space="preserve"> </w:t>
    </w:r>
    <w:r w:rsidDel="00000000" w:rsidR="00000000" w:rsidRPr="00000000">
      <w:rPr>
        <w:color w:val="c00000"/>
        <w:sz w:val="16"/>
        <w:szCs w:val="16"/>
        <w:rtl w:val="0"/>
      </w:rPr>
      <w:t xml:space="preserve">[telephone] </w:t>
    </w:r>
    <w:r w:rsidDel="00000000" w:rsidR="00000000" w:rsidRPr="00000000">
      <w:rPr>
        <w:color w:val="000000"/>
        <w:sz w:val="16"/>
        <w:szCs w:val="16"/>
        <w:vertAlign w:val="baseline"/>
        <w:rtl w:val="0"/>
      </w:rPr>
      <w:t xml:space="preserve"> </w:t>
    </w:r>
    <w:r w:rsidDel="00000000" w:rsidR="00000000" w:rsidRPr="00000000">
      <w:rPr>
        <w:color w:val="bfbfbf"/>
        <w:sz w:val="16"/>
        <w:szCs w:val="16"/>
        <w:vertAlign w:val="baseline"/>
        <w:rtl w:val="0"/>
      </w:rPr>
      <w:t xml:space="preserve">– Email : </w:t>
    </w:r>
    <w:r w:rsidDel="00000000" w:rsidR="00000000" w:rsidRPr="00000000">
      <w:rPr>
        <w:color w:val="c00000"/>
        <w:sz w:val="16"/>
        <w:szCs w:val="16"/>
        <w:rtl w:val="0"/>
      </w:rPr>
      <w:t xml:space="preserve">[mail]  </w:t>
    </w:r>
    <w:r w:rsidDel="00000000" w:rsidR="00000000" w:rsidRPr="00000000">
      <w:rPr>
        <w:color w:val="000000"/>
        <w:sz w:val="16"/>
        <w:szCs w:val="16"/>
        <w:vertAlign w:val="baseline"/>
        <w:rtl w:val="0"/>
      </w:rPr>
      <w:t xml:space="preserve">  - </w:t>
    </w:r>
    <w:r w:rsidDel="00000000" w:rsidR="00000000" w:rsidRPr="00000000">
      <w:rPr>
        <w:color w:val="bfbfbf"/>
        <w:sz w:val="16"/>
        <w:szCs w:val="16"/>
        <w:vertAlign w:val="baseline"/>
        <w:rtl w:val="0"/>
      </w:rPr>
      <w:t xml:space="preserve">Site internet : </w:t>
    </w:r>
    <w:r w:rsidDel="00000000" w:rsidR="00000000" w:rsidRPr="00000000">
      <w:rPr>
        <w:color w:val="c00000"/>
        <w:sz w:val="16"/>
        <w:szCs w:val="16"/>
        <w:rtl w:val="0"/>
      </w:rPr>
      <w:t xml:space="preserve">[site_web]</w: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leader="none" w:pos="4536"/>
        <w:tab w:val="right" w:leader="none" w:pos="9072"/>
      </w:tabs>
      <w:spacing w:after="0" w:lineRule="auto"/>
      <w:rPr>
        <w:i w:val="0"/>
        <w:sz w:val="16"/>
        <w:szCs w:val="16"/>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leader="none" w:pos="4536"/>
        <w:tab w:val="right" w:leader="none" w:pos="9072"/>
      </w:tabs>
      <w:spacing w:after="0" w:lineRule="auto"/>
      <w:rPr>
        <w:i w:val="0"/>
        <w:sz w:val="16"/>
        <w:szCs w:val="16"/>
        <w:vertAlign w:val="baseline"/>
      </w:rPr>
    </w:pPr>
    <w:r w:rsidDel="00000000" w:rsidR="00000000" w:rsidRPr="00000000">
      <w:rPr>
        <w:color w:val="000000"/>
        <w:vertAlign w:val="baseline"/>
        <w:rtl w:val="0"/>
      </w:rPr>
      <w:tab/>
    </w:r>
    <w:r w:rsidDel="00000000" w:rsidR="00000000" w:rsidRPr="00000000">
      <w:rPr>
        <w:color w:val="000000"/>
        <w:vertAlign w:val="baseline"/>
      </w:rPr>
      <w:drawing>
        <wp:inline distB="0" distT="0" distL="114300" distR="114300">
          <wp:extent cx="1270000" cy="1270000"/>
          <wp:effectExtent b="0" l="0" r="0" t="0"/>
          <wp:docPr id="102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270000"/>
                  </a:xfrm>
                  <a:prstGeom prst="rect"/>
                  <a:ln/>
                </pic:spPr>
              </pic:pic>
            </a:graphicData>
          </a:graphic>
        </wp:inline>
      </w:drawing>
    </w:r>
    <w:r w:rsidDel="00000000" w:rsidR="00000000" w:rsidRPr="00000000">
      <w:rPr>
        <w:color w:val="000000"/>
        <w:vertAlign w:val="baseline"/>
        <w:rtl w:val="0"/>
      </w:rPr>
      <w:tab/>
    </w:r>
    <w:r w:rsidDel="00000000" w:rsidR="00000000" w:rsidRPr="00000000">
      <w:rPr>
        <w:i w:val="1"/>
        <w:sz w:val="16"/>
        <w:szCs w:val="16"/>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-342899</wp:posOffset>
              </wp:positionV>
              <wp:extent cx="1520190" cy="255270"/>
              <wp:effectExtent b="0" l="0" r="0" t="0"/>
              <wp:wrapNone/>
              <wp:docPr id="1028" name=""/>
              <a:graphic>
                <a:graphicData uri="http://schemas.microsoft.com/office/word/2010/wordprocessingShape">
                  <wps:wsp>
                    <wps:cNvSpPr/>
                    <wps:cNvPr id="2" name="Shape 2"/>
                    <wps:spPr>
                      <a:xfrm>
                        <a:off x="4595430" y="3661890"/>
                        <a:ext cx="1501140" cy="23622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t xml:space="preserve">CRITERE 1 – Indicateur 1</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Arial" w:cs="Arial" w:eastAsia="Arial" w:hAnsi="Arial"/>
                              <w:b w:val="0"/>
                              <w:i w:val="1"/>
                              <w:smallCaps w:val="0"/>
                              <w:strike w:val="0"/>
                              <w:color w:val="000000"/>
                              <w:sz w:val="16"/>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-342899</wp:posOffset>
              </wp:positionV>
              <wp:extent cx="1520190" cy="255270"/>
              <wp:effectExtent b="0" l="0" r="0" t="0"/>
              <wp:wrapNone/>
              <wp:docPr id="1028"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520190" cy="255270"/>
                      </a:xfrm>
                      <a:prstGeom prst="rect"/>
                      <a:ln/>
                    </pic:spPr>
                  </pic:pic>
                </a:graphicData>
              </a:graphic>
            </wp:anchor>
          </w:drawing>
        </mc:Fallback>
      </mc:AlternateConten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536"/>
        <w:tab w:val="right" w:leader="none" w:pos="9072"/>
      </w:tabs>
      <w:spacing w:after="0" w:line="240" w:lineRule="auto"/>
      <w:rPr>
        <w:color w:val="000000"/>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Century Gothic" w:cs="Century Gothic" w:eastAsia="Century Gothic" w:hAnsi="Century Gothic"/>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entury Gothic" w:cs="Century Gothic" w:eastAsia="Century Gothic" w:hAnsi="Century Gothic"/>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paragraph" w:styleId="Titre1">
    <w:name w:val="Titre 1"/>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48"/>
      <w:szCs w:val="48"/>
      <w:effect w:val="none"/>
      <w:vertAlign w:val="baseline"/>
      <w:cs w:val="0"/>
      <w:em w:val="none"/>
      <w:lang w:bidi="ar-SA" w:eastAsia="fr-FR" w:val="fr-FR"/>
    </w:rPr>
  </w:style>
  <w:style w:type="paragraph" w:styleId="Titre2">
    <w:name w:val="Titre 2"/>
    <w:basedOn w:val="Normal"/>
    <w:next w:val="Normal"/>
    <w:autoRedefine w:val="0"/>
    <w:hidden w:val="0"/>
    <w:qFormat w:val="1"/>
    <w:pPr>
      <w:keepNext w:val="1"/>
      <w:keepLines w:val="1"/>
      <w:suppressAutoHyphens w:val="1"/>
      <w:spacing w:after="80" w:before="360" w:line="259" w:lineRule="auto"/>
      <w:ind w:leftChars="-1" w:rightChars="0" w:firstLineChars="-1"/>
      <w:textDirection w:val="btLr"/>
      <w:textAlignment w:val="top"/>
      <w:outlineLvl w:val="1"/>
    </w:pPr>
    <w:rPr>
      <w:b w:val="1"/>
      <w:w w:val="100"/>
      <w:position w:val="-1"/>
      <w:sz w:val="36"/>
      <w:szCs w:val="36"/>
      <w:effect w:val="none"/>
      <w:vertAlign w:val="baseline"/>
      <w:cs w:val="0"/>
      <w:em w:val="none"/>
      <w:lang w:bidi="ar-SA" w:eastAsia="fr-FR" w:val="fr-FR"/>
    </w:rPr>
  </w:style>
  <w:style w:type="paragraph" w:styleId="Titre3">
    <w:name w:val="Titre 3"/>
    <w:basedOn w:val="Normal"/>
    <w:next w:val="Normal"/>
    <w:autoRedefine w:val="0"/>
    <w:hidden w:val="0"/>
    <w:qFormat w:val="1"/>
    <w:pPr>
      <w:keepNext w:val="1"/>
      <w:keepLines w:val="1"/>
      <w:suppressAutoHyphens w:val="1"/>
      <w:spacing w:after="80" w:before="280" w:line="259" w:lineRule="auto"/>
      <w:ind w:leftChars="-1" w:rightChars="0" w:firstLineChars="-1"/>
      <w:textDirection w:val="btLr"/>
      <w:textAlignment w:val="top"/>
      <w:outlineLvl w:val="2"/>
    </w:pPr>
    <w:rPr>
      <w:b w:val="1"/>
      <w:w w:val="100"/>
      <w:position w:val="-1"/>
      <w:sz w:val="28"/>
      <w:szCs w:val="28"/>
      <w:effect w:val="none"/>
      <w:vertAlign w:val="baseline"/>
      <w:cs w:val="0"/>
      <w:em w:val="none"/>
      <w:lang w:bidi="ar-SA" w:eastAsia="fr-FR" w:val="fr-FR"/>
    </w:rPr>
  </w:style>
  <w:style w:type="paragraph" w:styleId="Titre4">
    <w:name w:val="Titre 4"/>
    <w:basedOn w:val="Normal"/>
    <w:next w:val="Normal"/>
    <w:autoRedefine w:val="0"/>
    <w:hidden w:val="0"/>
    <w:qFormat w:val="1"/>
    <w:pPr>
      <w:keepNext w:val="1"/>
      <w:keepLines w:val="1"/>
      <w:suppressAutoHyphens w:val="1"/>
      <w:spacing w:after="40" w:before="240" w:line="259" w:lineRule="auto"/>
      <w:ind w:leftChars="-1" w:rightChars="0" w:firstLineChars="-1"/>
      <w:textDirection w:val="btLr"/>
      <w:textAlignment w:val="top"/>
      <w:outlineLvl w:val="3"/>
    </w:pPr>
    <w:rPr>
      <w:b w:val="1"/>
      <w:w w:val="100"/>
      <w:position w:val="-1"/>
      <w:sz w:val="24"/>
      <w:szCs w:val="24"/>
      <w:effect w:val="none"/>
      <w:vertAlign w:val="baseline"/>
      <w:cs w:val="0"/>
      <w:em w:val="none"/>
      <w:lang w:bidi="ar-SA" w:eastAsia="fr-FR" w:val="fr-FR"/>
    </w:rPr>
  </w:style>
  <w:style w:type="paragraph" w:styleId="Titre5">
    <w:name w:val="Titre 5"/>
    <w:basedOn w:val="Normal"/>
    <w:next w:val="Normal"/>
    <w:autoRedefine w:val="0"/>
    <w:hidden w:val="0"/>
    <w:qFormat w:val="1"/>
    <w:pPr>
      <w:keepNext w:val="1"/>
      <w:keepLines w:val="1"/>
      <w:suppressAutoHyphens w:val="1"/>
      <w:spacing w:after="40" w:before="220" w:line="259" w:lineRule="auto"/>
      <w:ind w:leftChars="-1" w:rightChars="0" w:firstLineChars="-1"/>
      <w:textDirection w:val="btLr"/>
      <w:textAlignment w:val="top"/>
      <w:outlineLvl w:val="4"/>
    </w:pPr>
    <w:rPr>
      <w:b w:val="1"/>
      <w:w w:val="100"/>
      <w:position w:val="-1"/>
      <w:sz w:val="22"/>
      <w:szCs w:val="22"/>
      <w:effect w:val="none"/>
      <w:vertAlign w:val="baseline"/>
      <w:cs w:val="0"/>
      <w:em w:val="none"/>
      <w:lang w:bidi="ar-SA" w:eastAsia="fr-FR" w:val="fr-FR"/>
    </w:rPr>
  </w:style>
  <w:style w:type="paragraph" w:styleId="Titre6">
    <w:name w:val="Titre 6"/>
    <w:basedOn w:val="Normal"/>
    <w:next w:val="Normal"/>
    <w:autoRedefine w:val="0"/>
    <w:hidden w:val="0"/>
    <w:qFormat w:val="1"/>
    <w:pPr>
      <w:keepNext w:val="1"/>
      <w:keepLines w:val="1"/>
      <w:suppressAutoHyphens w:val="1"/>
      <w:spacing w:after="40" w:before="200" w:line="259" w:lineRule="auto"/>
      <w:ind w:leftChars="-1" w:rightChars="0" w:firstLineChars="-1"/>
      <w:textDirection w:val="btLr"/>
      <w:textAlignment w:val="top"/>
      <w:outlineLvl w:val="5"/>
    </w:pPr>
    <w:rPr>
      <w:b w:val="1"/>
      <w:w w:val="100"/>
      <w:position w:val="-1"/>
      <w:effect w:val="none"/>
      <w:vertAlign w:val="baseline"/>
      <w:cs w:val="0"/>
      <w:em w:val="none"/>
      <w:lang w:bidi="ar-SA" w:eastAsia="fr-FR" w:val="fr-FR"/>
    </w:rPr>
  </w:style>
  <w:style w:type="character" w:styleId="Policepardéfaut">
    <w:name w:val="Police par défaut"/>
    <w:next w:val="Policepardéfaut"/>
    <w:autoRedefine w:val="0"/>
    <w:hidden w:val="0"/>
    <w:qFormat w:val="1"/>
    <w:rPr>
      <w:w w:val="100"/>
      <w:position w:val="-1"/>
      <w:effect w:val="none"/>
      <w:vertAlign w:val="baseline"/>
      <w:cs w:val="0"/>
      <w:em w:val="none"/>
      <w:lang/>
    </w:rPr>
  </w:style>
  <w:style w:type="table" w:styleId="TableauNormal">
    <w:name w:val="Tableau Normal"/>
    <w:next w:val="Tableau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1"/>
    <w:pPr>
      <w:suppressAutoHyphens w:val="1"/>
      <w:spacing w:line="1" w:lineRule="atLeast"/>
      <w:ind w:leftChars="-1" w:rightChars="0" w:firstLineChars="-1"/>
      <w:textDirection w:val="btLr"/>
      <w:textAlignment w:val="top"/>
      <w:outlineLvl w:val="0"/>
    </w:pPr>
  </w:style>
  <w:style w:type="table" w:styleId="TableNormal">
    <w:name w:val="Table Normal"/>
    <w:next w:val="Table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effect w:val="none"/>
      <w:vertAlign w:val="baseline"/>
      <w:cs w:val="0"/>
      <w:em w:val="none"/>
      <w:lang w:bidi="ar-SA" w:eastAsia="fr-FR" w:val="fr-FR"/>
    </w:rPr>
    <w:tblPr>
      <w:tblStyle w:val="TableNormal"/>
      <w:jc w:val="left"/>
      <w:tblCellMar>
        <w:top w:w="0.0" w:type="dxa"/>
        <w:left w:w="0.0" w:type="dxa"/>
        <w:bottom w:w="0.0" w:type="dxa"/>
        <w:right w:w="0.0" w:type="dxa"/>
      </w:tblCellMar>
    </w:tblPr>
  </w:style>
  <w:style w:type="paragraph" w:styleId="Titre">
    <w:name w:val="Titre"/>
    <w:basedOn w:val="Normal"/>
    <w:next w:val="Normal"/>
    <w:autoRedefine w:val="0"/>
    <w:hidden w:val="0"/>
    <w:qFormat w:val="0"/>
    <w:pPr>
      <w:keepNext w:val="1"/>
      <w:keepLines w:val="1"/>
      <w:suppressAutoHyphens w:val="1"/>
      <w:spacing w:after="120" w:before="480" w:line="259" w:lineRule="auto"/>
      <w:ind w:leftChars="-1" w:rightChars="0" w:firstLineChars="-1"/>
      <w:textDirection w:val="btLr"/>
      <w:textAlignment w:val="top"/>
      <w:outlineLvl w:val="0"/>
    </w:pPr>
    <w:rPr>
      <w:b w:val="1"/>
      <w:w w:val="100"/>
      <w:position w:val="-1"/>
      <w:sz w:val="72"/>
      <w:szCs w:val="72"/>
      <w:effect w:val="none"/>
      <w:vertAlign w:val="baseline"/>
      <w:cs w:val="0"/>
      <w:em w:val="none"/>
      <w:lang w:bidi="ar-SA" w:eastAsia="fr-FR" w:val="fr-FR"/>
    </w:rPr>
  </w:style>
  <w:style w:type="paragraph" w:styleId="Sous-titre">
    <w:name w:val="Sous-titre"/>
    <w:basedOn w:val="Normal"/>
    <w:next w:val="Normal"/>
    <w:autoRedefine w:val="0"/>
    <w:hidden w:val="0"/>
    <w:qFormat w:val="0"/>
    <w:pPr>
      <w:keepNext w:val="1"/>
      <w:keepLines w:val="1"/>
      <w:suppressAutoHyphens w:val="1"/>
      <w:spacing w:after="80" w:before="360" w:line="259" w:lineRule="auto"/>
      <w:ind w:leftChars="-1" w:rightChars="0" w:firstLineChars="-1"/>
      <w:textDirection w:val="btLr"/>
      <w:textAlignment w:val="top"/>
      <w:outlineLvl w:val="0"/>
    </w:pPr>
    <w:rPr>
      <w:rFonts w:ascii="Georgia" w:cs="Georgia" w:eastAsia="Georgia" w:hAnsi="Georgia"/>
      <w:i w:val="1"/>
      <w:color w:val="666666"/>
      <w:w w:val="100"/>
      <w:position w:val="-1"/>
      <w:sz w:val="48"/>
      <w:szCs w:val="48"/>
      <w:effect w:val="none"/>
      <w:vertAlign w:val="baseline"/>
      <w:cs w:val="0"/>
      <w:em w:val="none"/>
      <w:lang w:bidi="ar-SA" w:eastAsia="fr-FR" w:val="fr-FR"/>
    </w:rPr>
  </w:style>
  <w:style w:type="paragraph" w:styleId="En-tête">
    <w:name w:val="En-tête"/>
    <w:basedOn w:val="Normal"/>
    <w:next w:val="En-têt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En-têteCar">
    <w:name w:val="En-tête Car"/>
    <w:basedOn w:val="Policepardéfaut"/>
    <w:next w:val="En-têteCar"/>
    <w:autoRedefine w:val="0"/>
    <w:hidden w:val="0"/>
    <w:qFormat w:val="0"/>
    <w:rPr>
      <w:w w:val="100"/>
      <w:position w:val="-1"/>
      <w:effect w:val="none"/>
      <w:vertAlign w:val="baseline"/>
      <w:cs w:val="0"/>
      <w:em w:val="none"/>
      <w:lang/>
    </w:rPr>
  </w:style>
  <w:style w:type="paragraph" w:styleId="Pieddepage">
    <w:name w:val="Pied de page"/>
    <w:basedOn w:val="Normal"/>
    <w:next w:val="Pieddepage"/>
    <w:autoRedefine w:val="0"/>
    <w:hidden w:val="0"/>
    <w:qFormat w:val="1"/>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bidi="ar-SA" w:eastAsia="fr-FR" w:val="fr-FR"/>
    </w:rPr>
  </w:style>
  <w:style w:type="character" w:styleId="PieddepageCar">
    <w:name w:val="Pied de page Car"/>
    <w:basedOn w:val="Policepardéfaut"/>
    <w:next w:val="PieddepageCar"/>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NCoMcvvfQRF7AzZKOYiI7Aciag==">CgMxLjA4AHIhMWJhVFBZQ3Y4VnJHa0R0ajZpY3dlajdKNXhfOF9aOHZx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2022-06-29T09:08:00Z</dcterms:created>
  <dc:creator>Marie DELAHAYE</dc:creator>
</cp:coreProperties>
</file>