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LES DIFFÉRENTS PÔLES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PÔLE ADMINISTRATIF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60" w:line="240" w:lineRule="auto"/>
        <w:ind w:left="36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administratif se construit autour de 2 axes : admission et support. 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120" w:before="160" w:line="240" w:lineRule="auto"/>
        <w:rPr>
          <w:rFonts w:ascii="Arial" w:cs="Arial" w:eastAsia="Arial" w:hAnsi="Arial"/>
          <w:b w:val="0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2274"/>
        <w:gridCol w:w="5249"/>
        <w:tblGridChange w:id="0">
          <w:tblGrid>
            <w:gridCol w:w="1549"/>
            <w:gridCol w:w="2274"/>
            <w:gridCol w:w="5249"/>
          </w:tblGrid>
        </w:tblGridChange>
      </w:tblGrid>
      <w:tr>
        <w:trPr>
          <w:cantSplit w:val="0"/>
          <w:trHeight w:val="528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54" w:hRule="atLeast"/>
          <w:tblHeader w:val="0"/>
        </w:trPr>
        <w:tc>
          <w:tcPr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 admission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Accueil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l’assurer l’accueil téléphonique et physique des visiteurs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des missions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l’organisation logistique des formations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Gérer les déplacements de l’ensemble des employés de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de l’organisme de formation 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13" w:hRule="atLeast"/>
          <w:tblHeader w:val="0"/>
        </w:trPr>
        <w:tc>
          <w:tcPr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Service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Traiter les gestions de carrières 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Recueillir les besoins en formation des personnels, rédiger et suivre le plan de formation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Interface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l’interface avec les différents partenaires (gestion des conventions…)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l’interface avec les étudiants (délivrance des diplômes…)</w:t>
            </w:r>
          </w:p>
        </w:tc>
      </w:tr>
      <w:tr>
        <w:trPr>
          <w:cantSplit w:val="1"/>
          <w:trHeight w:val="1593" w:hRule="atLeast"/>
          <w:tblHeader w:val="0"/>
        </w:trPr>
        <w:tc>
          <w:tcPr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Gestion financière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Mise en place du budget et son exécution</w:t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Suivi des conventions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Suivi des facturations</w:t>
            </w:r>
          </w:p>
        </w:tc>
      </w:tr>
    </w:tbl>
    <w:p w:rsidR="00000000" w:rsidDel="00000000" w:rsidP="00000000" w:rsidRDefault="00000000" w:rsidRPr="00000000" w14:paraId="00000026">
      <w:pPr>
        <w:spacing w:before="240" w:lineRule="auto"/>
        <w:rPr>
          <w:rFonts w:ascii="Arial" w:cs="Arial" w:eastAsia="Arial" w:hAnsi="Arial"/>
          <w:b w:val="0"/>
          <w:color w:val="000000"/>
          <w:sz w:val="2"/>
          <w:szCs w:val="2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993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administratif s’engage à ce que chaque demande de contact soit prise en charge et à ce que les étudiants puissent être accompagnés au mieux pendant toute la durée de leur 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color w:val="00000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POLE 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60" w:line="240" w:lineRule="auto"/>
        <w:ind w:left="36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91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compétences accompagne les étudiants dans l’acquisition et le développement de leurs compétences professionnelles.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20" w:before="160" w:line="240" w:lineRule="auto"/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242"/>
        <w:tblGridChange w:id="0">
          <w:tblGrid>
            <w:gridCol w:w="2830"/>
            <w:gridCol w:w="6242"/>
          </w:tblGrid>
        </w:tblGridChange>
      </w:tblGrid>
      <w:tr>
        <w:trPr>
          <w:cantSplit w:val="0"/>
          <w:trHeight w:val="59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Conception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Définir le contenu pédagogique et le déroulement de la formation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Mettre en place des techniques d’évaluation 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Proposer de nouvelles techniques pédagogiques et outils d’apprentissage facilitant l’apprentissage d’un savoir</w:t>
            </w:r>
          </w:p>
        </w:tc>
      </w:tr>
      <w:tr>
        <w:trPr>
          <w:cantSplit w:val="0"/>
          <w:trHeight w:val="239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Contribuer au bon déroulement des actions de formation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Élaborer et animer des cycles de formation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Veiller aux éventuels abandons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Évaluer les résultats</w:t>
            </w:r>
          </w:p>
        </w:tc>
      </w:tr>
      <w:tr>
        <w:trPr>
          <w:cantSplit w:val="0"/>
          <w:trHeight w:val="85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Veille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la veille pédagogique et technique dans son domaine d’intervention</w:t>
            </w:r>
          </w:p>
        </w:tc>
      </w:tr>
    </w:tbl>
    <w:p w:rsidR="00000000" w:rsidDel="00000000" w:rsidP="00000000" w:rsidRDefault="00000000" w:rsidRPr="00000000" w14:paraId="00000041">
      <w:pPr>
        <w:spacing w:before="240" w:lineRule="auto"/>
        <w:rPr>
          <w:rFonts w:ascii="Arial" w:cs="Arial" w:eastAsia="Arial" w:hAnsi="Arial"/>
          <w:b w:val="0"/>
          <w:color w:val="000000"/>
          <w:sz w:val="2"/>
          <w:szCs w:val="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1136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formation professionnelle se mobilise pour que les étudiants puissent acquérir les compétences et connaissances nécessaires à la reprise d’une activité et à la construction de leur projet professionnel.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color w:val="000000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20" w:before="160" w:line="240" w:lineRule="auto"/>
        <w:ind w:left="720" w:hanging="36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vertAlign w:val="baseline"/>
          <w:rtl w:val="0"/>
        </w:rPr>
        <w:t xml:space="preserve">PÔLE INSERTION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60" w:line="240" w:lineRule="auto"/>
        <w:ind w:left="720" w:firstLine="0"/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46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 pôle insertion veille à l’employabilité des étudiants.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0"/>
        <w:gridCol w:w="6242"/>
        <w:tblGridChange w:id="0">
          <w:tblGrid>
            <w:gridCol w:w="2830"/>
            <w:gridCol w:w="6242"/>
          </w:tblGrid>
        </w:tblGridChange>
      </w:tblGrid>
      <w:tr>
        <w:trPr>
          <w:cantSplit w:val="0"/>
          <w:trHeight w:val="546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Missions détaillées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Partenariats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Développer des partenariats avec l’organisme de formation</w:t>
            </w:r>
          </w:p>
        </w:tc>
      </w:tr>
      <w:tr>
        <w:trPr>
          <w:cantSplit w:val="0"/>
          <w:trHeight w:val="2151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Créer des supports d’édition (dépliant, affiche, bandeau, rapports…)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Gérer la communication interne et externe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720" w:firstLine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Assurer l’animation de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vertAlign w:val="baseline"/>
                <w:rtl w:val="0"/>
              </w:rPr>
              <w:t xml:space="preserve">« Nom de l’organisme de formation 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9"/>
        <w:gridCol w:w="7523"/>
        <w:tblGridChange w:id="0">
          <w:tblGrid>
            <w:gridCol w:w="1549"/>
            <w:gridCol w:w="7523"/>
          </w:tblGrid>
        </w:tblGridChange>
      </w:tblGrid>
      <w:tr>
        <w:trPr>
          <w:cantSplit w:val="0"/>
          <w:trHeight w:val="813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Engagements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Il s’engage à ce que tous les stagiaires trouvent un emploi à 6 mois après la fin de leur formation.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-323849</wp:posOffset>
              </wp:positionV>
              <wp:extent cx="1438275" cy="300038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4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4962525</wp:posOffset>
              </wp:positionH>
              <wp:positionV relativeFrom="paragraph">
                <wp:posOffset>-323849</wp:posOffset>
              </wp:positionV>
              <wp:extent cx="1438275" cy="300038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3000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entury Gothic" w:cs="Century Gothic" w:eastAsia="Century Gothic" w:hAnsi="Century Gothic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2"/>
    </w:pPr>
    <w:rPr>
      <w:rFonts w:ascii="Times New Roman" w:cs="Times New Roman" w:eastAsia="Times New Roman" w:hAnsi="Times New Roman"/>
      <w:b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3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4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5"/>
    </w:pPr>
    <w:rPr>
      <w:b w:val="1"/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7">
    <w:name w:val=""/>
    <w:basedOn w:val="TableNormal"/>
    <w:next w:val="7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7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e5MqB6YIVnFbfelWbDZ1Jud5g==">CgMxLjA4AHIhMXFVeWRZRXVkb2FNdHNvaHhjQ3otSFR5aXBUX09jNEFu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2022-06-29T10:45:00Z</dcterms:created>
</cp:coreProperties>
</file>