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DE FORMATION CONTINUE DU PERSONNEL [ANNÉE]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1"/>
        <w:gridCol w:w="2753"/>
        <w:gridCol w:w="2551"/>
        <w:gridCol w:w="1560"/>
        <w:gridCol w:w="1701"/>
        <w:gridCol w:w="1576"/>
        <w:gridCol w:w="1791"/>
        <w:tblGridChange w:id="0">
          <w:tblGrid>
            <w:gridCol w:w="2061"/>
            <w:gridCol w:w="2753"/>
            <w:gridCol w:w="2551"/>
            <w:gridCol w:w="1560"/>
            <w:gridCol w:w="1701"/>
            <w:gridCol w:w="1576"/>
            <w:gridCol w:w="1791"/>
          </w:tblGrid>
        </w:tblGridChange>
      </w:tblGrid>
      <w:tr>
        <w:trPr>
          <w:cantSplit w:val="0"/>
          <w:trHeight w:val="679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Thèmes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Financement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8020050</wp:posOffset>
              </wp:positionH>
              <wp:positionV relativeFrom="paragraph">
                <wp:posOffset>-209549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8020050</wp:posOffset>
              </wp:positionH>
              <wp:positionV relativeFrom="paragraph">
                <wp:posOffset>-209549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QESWErslfI7eecVp5Kv8kgjGA==">CgMxLjA4AHIhMXJnYUs4OTlYeU5BYXZpYnFqMTJjWG50VnN2V1F1LVll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2022-06-28T11:06:00Z</dcterms:created>
  <dc:creator>Marie DELAHAYE</dc:creator>
</cp:coreProperties>
</file>