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ACCUEIL DES ETUDIANTS</w:t>
        <w:br w:type="textWrapping"/>
        <w:t xml:space="preserve">EN SITUATION DE HANDICAP – ENTRETIEN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Date de l’entretien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Nom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Type de handicap : </w:t>
      </w: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Manifestions du handicap 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Comment le candidat envisage-t-il la formation 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Quels sont ses besoins 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Sait-il gérer sa maladie ?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(Prévention de la surveillance et anticipation en cas de crise)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Adaptation des rythmes et des temps de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Durée globale de la 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Formation temps plein/temps partiel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Durée des séquences pédagogiques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Temps de pause (nombre et durée)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Rythmes d’acquisition des connaissances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Gestion des absences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Rattrapage des modules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Gestion des absences courtes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Adaptation des modalités pédagogiques, contenus, supports et outils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Pédagogique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Contenu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Support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Outils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Aménagement des règles générales d’évaluation des connaissances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Nouvelle règlementation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(accessibilité des locaux, aide technique ou humaine, temps majoré, passage de l’examen sur plusieurs sessions…)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Adaptation du référentiel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Aménagement de l’environnement de la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Adaptation des locaux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(parking, plateforme, portes, toilettes…)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Adaptations techniques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(places aménagées, écrans de lecture, signaux lumineux ou sonores, agrandissement des supports…)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Aménagement de la structuration de l’équipe pédagogique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Interne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(référent, accompagnement…)</w:t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Externe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right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C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D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4829175</wp:posOffset>
              </wp:positionH>
              <wp:positionV relativeFrom="paragraph">
                <wp:posOffset>-200024</wp:posOffset>
              </wp:positionV>
              <wp:extent cx="1438275" cy="279083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6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26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4829175</wp:posOffset>
              </wp:positionH>
              <wp:positionV relativeFrom="paragraph">
                <wp:posOffset>-200024</wp:posOffset>
              </wp:positionV>
              <wp:extent cx="1438275" cy="279083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27908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0">
    <w:name w:val=""/>
    <w:basedOn w:val="TableNormal"/>
    <w:next w:val="0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0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">
    <w:name w:val=""/>
    <w:basedOn w:val="TableNormal"/>
    <w:next w:val="1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1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2">
    <w:name w:val=""/>
    <w:basedOn w:val="TableNormal"/>
    <w:next w:val="2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2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3">
    <w:name w:val=""/>
    <w:basedOn w:val="TableNormal"/>
    <w:next w:val="3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3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">
    <w:name w:val=""/>
    <w:basedOn w:val="TableNormal"/>
    <w:next w:val="4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4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5">
    <w:name w:val=""/>
    <w:basedOn w:val="TableNormal"/>
    <w:next w:val="5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5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9CG52ndLFlfam1v6q/zQLtfHHg==">CgMxLjA4AHIhMXI1M3o0Rl81anV2NDNiUFpYWm1WUHpPZmZaNDNwTS1s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2022-06-28T17:00:00Z</dcterms:created>
</cp:coreProperties>
</file>