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6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60" w:line="240" w:lineRule="auto"/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LES PARTENAIRES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60" w:line="240" w:lineRule="auto"/>
        <w:jc w:val="center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« Nom OF » 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s’attache à développer constamment son réseau de partenaires afin d’assurer une très grande employabilité à ses étudiants.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Les partenaires de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« Nom OF» 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-238124</wp:posOffset>
              </wp:positionV>
              <wp:extent cx="1438275" cy="33623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-238124</wp:posOffset>
              </wp:positionV>
              <wp:extent cx="1438275" cy="33623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p8/ZucxE6rQ8UfBiVy2hm//Xw==">CgMxLjA4AHIhMXIwMTVsM2g5S0J6bE84U3hGNENETE5jYWxsVm9EcHpW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2022-06-28T17:08:00Z</dcterms:created>
</cp:coreProperties>
</file>