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MESURES D'AMÉLIORATION 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Convention annuelle : </w:t>
      </w: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1276"/>
        <w:gridCol w:w="2693"/>
        <w:tblGridChange w:id="0">
          <w:tblGrid>
            <w:gridCol w:w="5100"/>
            <w:gridCol w:w="1276"/>
            <w:gridCol w:w="2693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Concernant cette formation diriez-vous de chacun des éléments suivants que vous en êtes plutôt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Pistes d’amélioration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avant le début de la formation (programme / tarifs)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Programme et méthodes pédagogiques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Compétences acquises par le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Informations obtenues au terme de la 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administrative globale du dossier de votre participant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Adéquation globale de la formation vis-à-vis de vos attentes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En cas d’insatisfaction sur l’un des éléments précédents, pourriez-vous préciser pourquoi vous n’êtes pas satisfait : ………………………………………………………………………………….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360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-238124</wp:posOffset>
              </wp:positionV>
              <wp:extent cx="1438275" cy="3171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-238124</wp:posOffset>
              </wp:positionV>
              <wp:extent cx="1438275" cy="3171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Z6XWMWRBhmmubgE0GA/lpt4mA==">CgMxLjAyCGguZ2pkZ3hzOAByITFxdEhwaExwMUtyd2lNTXBubFJWZm0zMFFuRFQ3TjdUNg==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2022-06-28T18:34:00Z</dcterms:created>
</cp:coreProperties>
</file>