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ACCUEIL DES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ÉTUDIANTS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br w:type="textWrapping"/>
        <w:t xml:space="preserve">EN SITUATION DE HANDICAP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Toutes les formations dispensées à </w:t>
      </w:r>
      <w:r w:rsidDel="00000000" w:rsidR="00000000" w:rsidRPr="00000000">
        <w:rPr>
          <w:rFonts w:ascii="Arial" w:cs="Arial" w:eastAsia="Arial" w:hAnsi="Arial"/>
          <w:color w:val="c00000"/>
          <w:rtl w:val="0"/>
        </w:rPr>
        <w:t xml:space="preserve">[nom_organisme]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sont accessibles aux personnes handicapées.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Lors de l’inscription à nos formations, nous étudions avec le candidat en situation de handicap et à travers un entretien individuel les actions que nous pouvons mettre en place pour favoriser son apprentissage. L’outil retenu pour nous aider lors de cet entretien est un questionnaire à réponses ouvertes.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Aussi, nous pouvons nous appuyer sur un réseau de partenaires nationaux préalablement identifiés pour accompagner les étudiants en situation de handicap.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Chaque cas est traité individuellement.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Les 5 adaptations que nous pouvons mettre en place :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Adaptation des rythmes et des temps de formation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Adaptation des modalités pédagogiques, contenus, support et outils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Aménagement des règles générales d’évaluation des connaissances et des compétences acquises au cours de la formation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Aménagement de l’environnement de la formation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Aménagement de la structuration de l’équipe pédagogique</w:t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8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A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1B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1C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4851400</wp:posOffset>
              </wp:positionH>
              <wp:positionV relativeFrom="paragraph">
                <wp:posOffset>-215899</wp:posOffset>
              </wp:positionV>
              <wp:extent cx="1447800" cy="2886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6 – Indicateur 26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4851400</wp:posOffset>
              </wp:positionH>
              <wp:positionV relativeFrom="paragraph">
                <wp:posOffset>-215899</wp:posOffset>
              </wp:positionV>
              <wp:extent cx="1447800" cy="2886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cs="Century Gothic" w:eastAsia="Century Gothic" w:hAnsi="Century Gothic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1y+os9VfIItnAbhCB/KOvgOH7w==">CgMxLjA4AHIhMVp6QmhsRTMtaGZ6NGM5bzVoZDcxbjAtekRCcjZ4Zlcy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2022-06-28T17:01:00Z</dcterms:created>
</cp:coreProperties>
</file>