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b/>
          <w:bCs/>
          <w:color w:val="1F3864"/>
          <w:sz w:val="48"/>
          <w:szCs w:val="48"/>
        </w:rPr>
        <w:t xml:space="preserve">Behavioral Health Overpayments: What Internal and External Teams Find</w:t>
      </w:r>
    </w:p>
    <w:p>
      <w:pPr>
        <w:spacing w:after="120" w:line="276"/>
      </w:pPr>
      <w:r>
        <w:rPr>
          <w:rFonts w:ascii="Calibri" w:cs="Calibri" w:eastAsia="Calibri" w:hAnsi="Calibri"/>
          <w:i w:val="false"/>
          <w:iCs w:val="false"/>
          <w:color w:val="595959"/>
          <w:sz w:val="20"/>
          <w:szCs w:val="20"/>
        </w:rPr>
        <w:t xml:space="preserve">Exploratory data analysis report · 26 October 2026 · Prepared by Divyajyothi</w:t>
      </w:r>
    </w:p>
    <w:p>
      <w:pPr>
        <w:spacing w:after="120" w:line="276"/>
      </w:pPr>
      <w:r>
        <w:rPr>
          <w:rFonts w:ascii="Calibri" w:cs="Calibri" w:eastAsia="Calibri" w:hAnsi="Calibri"/>
          <w:i/>
          <w:iCs/>
          <w:color w:val="595959"/>
          <w:sz w:val="20"/>
          <w:szCs w:val="20"/>
        </w:rPr>
        <w:t xml:space="preserve">Data: BigQuery table Z_N669730_BH_claims_Track_details_2. Claims processed January 2025 to August 2026. All figures come from notebook Cells 1–23 of the current run; anything not produced there is marked as not available.</w:t>
      </w:r>
    </w:p>
    <w:p>
      <w:pPr>
        <w:spacing w:after="80" w:before="200"/>
      </w:pPr>
      <w:r>
        <w:rPr>
          <w:rFonts w:ascii="Calibri" w:cs="Calibri" w:eastAsia="Calibri" w:hAnsi="Calibri"/>
          <w:b/>
          <w:bCs/>
          <w:color w:val="2E75B6"/>
          <w:sz w:val="28"/>
          <w:szCs w:val="28"/>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pStyle w:val="Heading1"/>
        <w:pBdr>
          <w:bottom w:val="single" w:color="2E75B6" w:sz="8" w:space="2"/>
        </w:pBdr>
        <w:spacing w:after="120" w:before="240"/>
      </w:pPr>
      <w:r>
        <w:rPr>
          <w:rFonts w:ascii="Calibri" w:cs="Calibri" w:eastAsia="Calibri" w:hAnsi="Calibri"/>
          <w:b/>
          <w:bCs/>
          <w:color w:val="2E75B6"/>
          <w:sz w:val="32"/>
          <w:szCs w:val="32"/>
        </w:rPr>
        <w:t xml:space="preserve">1. Executive summary</w:t>
      </w:r>
    </w:p>
    <w:p>
      <w:pPr>
        <w:pBdr>
          <w:left w:val="single" w:color="2E75B6" w:sz="24" w:space="8"/>
        </w:pBdr>
        <w:shd w:fill="EEF3FA" w:color="auto" w:val="clear"/>
        <w:spacing w:after="160" w:before="80" w:line="276"/>
        <w:ind w:left="160" w:right="160"/>
      </w:pPr>
      <w:r>
        <w:rPr>
          <w:rFonts w:ascii="Calibri" w:cs="Calibri" w:eastAsia="Calibri" w:hAnsi="Calibri"/>
          <w:b/>
          <w:bCs/>
          <w:color w:val="1F3864"/>
          <w:sz w:val="22"/>
          <w:szCs w:val="22"/>
        </w:rPr>
        <w:t xml:space="preserve">External vendors find 1 in 8 BH overpayment records, but 1 in 6 overpaid dollars and almost half of the money not yet recovered.</w:t>
      </w:r>
      <w:r>
        <w:rPr>
          <w:rFonts w:ascii="Calibri" w:cs="Calibri" w:eastAsia="Calibri" w:hAnsi="Calibri"/>
          <w:color w:val="1F3864"/>
          <w:sz w:val="22"/>
          <w:szCs w:val="22"/>
        </w:rPr>
        <w:t xml:space="preserve"> Most of what they find is either information Internal does not hold (other commercial coverage, accident liability) or complex facility claims (residential, partial hospitalization, many-line and high-dollar bills).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38"/>
        <w:gridCol w:w="5288"/>
      </w:tblGrid>
      <w:tr>
        <w:trPr>
          <w:tblHeader/>
        </w:trPr>
        <w:tc>
          <w:tcPr>
            <w:tcW w:type="dxa" w:w="3738"/>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Measure</w:t>
            </w:r>
          </w:p>
        </w:tc>
        <w:tc>
          <w:tcPr>
            <w:tcW w:type="dxa" w:w="5288"/>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Value</w:t>
            </w:r>
          </w:p>
        </w:tc>
      </w:tr>
      <w:tr>
        <w:trPr>
          <w:cantSplit/>
        </w:trPr>
        <w:tc>
          <w:tcPr>
            <w:tcW w:type="dxa" w:w="373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Claims processed</w:t>
            </w:r>
          </w:p>
        </w:tc>
        <w:tc>
          <w:tcPr>
            <w:tcW w:type="dxa" w:w="528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5,008,274 · $806.51M paid</w:t>
            </w:r>
          </w:p>
        </w:tc>
      </w:tr>
      <w:tr>
        <w:trPr>
          <w:cantSplit/>
        </w:trPr>
        <w:tc>
          <w:tcPr>
            <w:tcW w:type="dxa" w:w="373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Overpaid claims</w:t>
            </w:r>
          </w:p>
        </w:tc>
        <w:tc>
          <w:tcPr>
            <w:tcW w:type="dxa" w:w="528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75,396 (1.51% of claims)</w:t>
            </w:r>
          </w:p>
        </w:tc>
      </w:tr>
      <w:tr>
        <w:trPr>
          <w:cantSplit/>
        </w:trPr>
        <w:tc>
          <w:tcPr>
            <w:tcW w:type="dxa" w:w="373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Overpayment records</w:t>
            </w:r>
          </w:p>
        </w:tc>
        <w:tc>
          <w:tcPr>
            <w:tcW w:type="dxa" w:w="528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76,075 · $13.17M (1.6% of paid dollars)</w:t>
            </w:r>
          </w:p>
        </w:tc>
      </w:tr>
      <w:tr>
        <w:trPr>
          <w:cantSplit/>
        </w:trPr>
        <w:tc>
          <w:tcPr>
            <w:tcW w:type="dxa" w:w="373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Recovered (estimated)</w:t>
            </w:r>
          </w:p>
        </w:tc>
        <w:tc>
          <w:tcPr>
            <w:tcW w:type="dxa" w:w="528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$11.83M (90%)</w:t>
            </w:r>
          </w:p>
        </w:tc>
      </w:tr>
      <w:tr>
        <w:trPr>
          <w:cantSplit/>
        </w:trPr>
        <w:tc>
          <w:tcPr>
            <w:tcW w:type="dxa" w:w="373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Found by Internal</w:t>
            </w:r>
          </w:p>
        </w:tc>
        <w:tc>
          <w:tcPr>
            <w:tcW w:type="dxa" w:w="528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67,061 records · $10.85M · 93% recovered</w:t>
            </w:r>
          </w:p>
        </w:tc>
      </w:tr>
      <w:tr>
        <w:trPr>
          <w:cantSplit/>
        </w:trPr>
        <w:tc>
          <w:tcPr>
            <w:tcW w:type="dxa" w:w="373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Found by External</w:t>
            </w:r>
          </w:p>
        </w:tc>
        <w:tc>
          <w:tcPr>
            <w:tcW w:type="dxa" w:w="528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9,014 records (11.8%) · $2.32M (17.6%) · 73% recovered</w:t>
            </w:r>
          </w:p>
        </w:tc>
      </w:tr>
      <w:tr>
        <w:trPr>
          <w:cantSplit/>
        </w:trPr>
        <w:tc>
          <w:tcPr>
            <w:tcW w:type="dxa" w:w="373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Still open</w:t>
            </w:r>
          </w:p>
        </w:tc>
        <w:tc>
          <w:tcPr>
            <w:tcW w:type="dxa" w:w="528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$1.34M, of which External $0.62M (46%)</w:t>
            </w:r>
          </w:p>
        </w:tc>
      </w:tr>
      <w:tr>
        <w:trPr>
          <w:cantSplit/>
        </w:trPr>
        <w:tc>
          <w:tcPr>
            <w:tcW w:type="dxa" w:w="373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Claims worked by both teams</w:t>
            </w:r>
          </w:p>
        </w:tc>
        <w:tc>
          <w:tcPr>
            <w:tcW w:type="dxa" w:w="528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71 (0.1% of overpaid claims), no double recoveries</w:t>
            </w:r>
          </w:p>
        </w:tc>
      </w:tr>
    </w:tbl>
    <w:p>
      <w:pPr>
        <w:spacing w:after="120"/>
      </w:pPr>
    </w:p>
    <w:p>
      <w:pPr>
        <w:spacing w:after="120" w:line="276"/>
      </w:pPr>
      <w:r>
        <w:rPr>
          <w:rFonts w:ascii="Calibri" w:cs="Calibri" w:eastAsia="Calibri" w:hAnsi="Calibri"/>
          <w:b/>
          <w:bCs/>
          <w:i w:val="false"/>
          <w:iCs w:val="false"/>
          <w:color w:val="262626"/>
          <w:sz w:val="22"/>
          <w:szCs w:val="22"/>
        </w:rPr>
        <w:t xml:space="preserve">The five things the data says</w:t>
      </w:r>
    </w:p>
    <w:p>
      <w:pPr>
        <w:pStyle w:val="ListParagraph"/>
        <w:numPr>
          <w:ilvl w:val="0"/>
          <w:numId w:val="2"/>
        </w:numPr>
        <w:spacing w:after="80" w:line="276"/>
      </w:pPr>
      <w:r>
        <w:rPr>
          <w:rFonts w:ascii="Calibri" w:cs="Calibri" w:eastAsia="Calibri" w:hAnsi="Calibri"/>
          <w:b/>
          <w:bCs/>
          <w:color w:val="262626"/>
          <w:sz w:val="22"/>
          <w:szCs w:val="22"/>
        </w:rPr>
        <w:t xml:space="preserve">External mostly works a different problem.</w:t>
      </w:r>
      <w:r>
        <w:rPr>
          <w:rFonts w:ascii="Calibri" w:cs="Calibri" w:eastAsia="Calibri" w:hAnsi="Calibri"/>
          <w:color w:val="262626"/>
          <w:sz w:val="22"/>
          <w:szCs w:val="22"/>
        </w:rPr>
        <w:t xml:space="preserve"> 73% of External records (59% of its dollars) use OP reasons Internal never records, led by commercial other-coverage investigations (4,279 records) and subrogation (1,150).</w:t>
      </w:r>
    </w:p>
    <w:p>
      <w:pPr>
        <w:pStyle w:val="ListParagraph"/>
        <w:numPr>
          <w:ilvl w:val="0"/>
          <w:numId w:val="2"/>
        </w:numPr>
        <w:spacing w:after="80" w:line="276"/>
      </w:pPr>
      <w:r>
        <w:rPr>
          <w:rFonts w:ascii="Calibri" w:cs="Calibri" w:eastAsia="Calibri" w:hAnsi="Calibri"/>
          <w:b/>
          <w:bCs/>
          <w:color w:val="262626"/>
          <w:sz w:val="22"/>
          <w:szCs w:val="22"/>
        </w:rPr>
        <w:t xml:space="preserve">Complexity and setting decide who finds it.</w:t>
      </w:r>
      <w:r>
        <w:rPr>
          <w:rFonts w:ascii="Calibri" w:cs="Calibri" w:eastAsia="Calibri" w:hAnsi="Calibri"/>
          <w:color w:val="262626"/>
          <w:sz w:val="22"/>
          <w:szCs w:val="22"/>
        </w:rPr>
        <w:t xml:space="preserve"> External finds 62% of overpayments on claims billed $20K+, 57% on claims with 11+ lines, 28.5% on facility claims and 34–50% in BH inpatient, residential, partial-hospitalization and ER settings, against 11.8% overall.</w:t>
      </w:r>
    </w:p>
    <w:p>
      <w:pPr>
        <w:pStyle w:val="ListParagraph"/>
        <w:numPr>
          <w:ilvl w:val="0"/>
          <w:numId w:val="2"/>
        </w:numPr>
        <w:spacing w:after="80" w:line="276"/>
      </w:pPr>
      <w:r>
        <w:rPr>
          <w:rFonts w:ascii="Calibri" w:cs="Calibri" w:eastAsia="Calibri" w:hAnsi="Calibri"/>
          <w:b/>
          <w:bCs/>
          <w:color w:val="262626"/>
          <w:sz w:val="22"/>
          <w:szCs w:val="22"/>
        </w:rPr>
        <w:t xml:space="preserve">Contract pricing is where External's dollars concentrate.</w:t>
      </w:r>
      <w:r>
        <w:rPr>
          <w:rFonts w:ascii="Calibri" w:cs="Calibri" w:eastAsia="Calibri" w:hAnsi="Calibri"/>
          <w:color w:val="262626"/>
          <w:sz w:val="22"/>
          <w:szCs w:val="22"/>
        </w:rPr>
        <w:t xml:space="preserve"> In the Contract – Administration category External has 4% of records but 50% of dollars; per diem errors alone are $452K, 84% found by External.</w:t>
      </w:r>
    </w:p>
    <w:p>
      <w:pPr>
        <w:pStyle w:val="ListParagraph"/>
        <w:numPr>
          <w:ilvl w:val="0"/>
          <w:numId w:val="2"/>
        </w:numPr>
        <w:spacing w:after="80" w:line="276"/>
      </w:pPr>
      <w:r>
        <w:rPr>
          <w:rFonts w:ascii="Calibri" w:cs="Calibri" w:eastAsia="Calibri" w:hAnsi="Calibri"/>
          <w:b/>
          <w:bCs/>
          <w:color w:val="262626"/>
          <w:sz w:val="22"/>
          <w:szCs w:val="22"/>
        </w:rPr>
        <w:t xml:space="preserve">External's recoveries lag.</w:t>
      </w:r>
      <w:r>
        <w:rPr>
          <w:rFonts w:ascii="Calibri" w:cs="Calibri" w:eastAsia="Calibri" w:hAnsi="Calibri"/>
          <w:color w:val="262626"/>
          <w:sz w:val="22"/>
          <w:szCs w:val="22"/>
        </w:rPr>
        <w:t xml:space="preserve"> External recovers 73 cents per dollar against Internal's 93. Subrogation recovers 35%, and $633K of External dollars are awaiting recovery or pended.</w:t>
      </w:r>
    </w:p>
    <w:p>
      <w:pPr>
        <w:pStyle w:val="ListParagraph"/>
        <w:numPr>
          <w:ilvl w:val="0"/>
          <w:numId w:val="2"/>
        </w:numPr>
        <w:spacing w:after="80" w:line="276"/>
      </w:pPr>
      <w:r>
        <w:rPr>
          <w:rFonts w:ascii="Calibri" w:cs="Calibri" w:eastAsia="Calibri" w:hAnsi="Calibri"/>
          <w:b/>
          <w:bCs/>
          <w:color w:val="262626"/>
          <w:sz w:val="22"/>
          <w:szCs w:val="22"/>
        </w:rPr>
        <w:t xml:space="preserve">The data needs a few fixes before modelling.</w:t>
      </w:r>
      <w:r>
        <w:rPr>
          <w:rFonts w:ascii="Calibri" w:cs="Calibri" w:eastAsia="Calibri" w:hAnsi="Calibri"/>
          <w:color w:val="262626"/>
          <w:sz w:val="22"/>
          <w:szCs w:val="22"/>
        </w:rPr>
        <w:t xml:space="preserve"> Recent months are not yet mature, one provider ID carries 13% of all records at about $10 each, and several reason, concept and status fields need cleaning.</w:t>
      </w:r>
    </w:p>
    <w:p>
      <w:pPr>
        <w:pStyle w:val="Heading1"/>
        <w:pageBreakBefore/>
        <w:pBdr>
          <w:bottom w:val="single" w:color="2E75B6" w:sz="8" w:space="2"/>
        </w:pBdr>
        <w:spacing w:after="120" w:before="240"/>
      </w:pPr>
      <w:r>
        <w:rPr>
          <w:rFonts w:ascii="Calibri" w:cs="Calibri" w:eastAsia="Calibri" w:hAnsi="Calibri"/>
          <w:b/>
          <w:bCs/>
          <w:color w:val="2E75B6"/>
          <w:sz w:val="32"/>
          <w:szCs w:val="32"/>
        </w:rPr>
        <w:t xml:space="preserve">2. Dataset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71"/>
        <w:gridCol w:w="5655"/>
      </w:tblGrid>
      <w:tr>
        <w:trPr>
          <w:tblHeader/>
        </w:trPr>
        <w:tc>
          <w:tcPr>
            <w:tcW w:type="dxa" w:w="3371"/>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Item</w:t>
            </w:r>
          </w:p>
        </w:tc>
        <w:tc>
          <w:tcPr>
            <w:tcW w:type="dxa" w:w="5655"/>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Detail</w:t>
            </w:r>
          </w:p>
        </w:tc>
      </w:tr>
      <w:tr>
        <w:trPr>
          <w:cantSplit/>
        </w:trPr>
        <w:tc>
          <w:tcPr>
            <w:tcW w:type="dxa" w:w="337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Source</w:t>
            </w:r>
          </w:p>
        </w:tc>
        <w:tc>
          <w:tcPr>
            <w:tcW w:type="dxa" w:w="565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edp-prod-hcbstorage.edp_hcb_svcops_piabrpt.Z_N669730_BH_claims_Track_details_2</w:t>
            </w:r>
          </w:p>
        </w:tc>
      </w:tr>
      <w:tr>
        <w:trPr>
          <w:cantSplit/>
        </w:trPr>
        <w:tc>
          <w:tcPr>
            <w:tcW w:type="dxa" w:w="3371"/>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Period</w:t>
            </w:r>
          </w:p>
        </w:tc>
        <w:tc>
          <w:tcPr>
            <w:tcW w:type="dxa" w:w="565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Claims processed 1 Jan 2025 – 31 Aug 2026 (20 months). The configured end date is 30 Sep 2026, but no September claims loaded.</w:t>
            </w:r>
          </w:p>
        </w:tc>
      </w:tr>
      <w:tr>
        <w:trPr>
          <w:cantSplit/>
        </w:trPr>
        <w:tc>
          <w:tcPr>
            <w:tcW w:type="dxa" w:w="337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Grain handled</w:t>
            </w:r>
          </w:p>
        </w:tc>
        <w:tc>
          <w:tcPr>
            <w:tcW w:type="dxa" w:w="565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One row per claim segment and line after de-duplication (claim_id_TEMP × line number); claim-level paid amounts are summed across segments.</w:t>
            </w:r>
          </w:p>
        </w:tc>
      </w:tr>
      <w:tr>
        <w:trPr>
          <w:cantSplit/>
        </w:trPr>
        <w:tc>
          <w:tcPr>
            <w:tcW w:type="dxa" w:w="3371"/>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Claims</w:t>
            </w:r>
          </w:p>
        </w:tc>
        <w:tc>
          <w:tcPr>
            <w:tcW w:type="dxa" w:w="565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5,008,274 claims, 216K–288K per month</w:t>
            </w:r>
          </w:p>
        </w:tc>
      </w:tr>
      <w:tr>
        <w:trPr>
          <w:cantSplit/>
        </w:trPr>
        <w:tc>
          <w:tcPr>
            <w:tcW w:type="dxa" w:w="337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Overpaid claims</w:t>
            </w:r>
          </w:p>
        </w:tc>
        <w:tc>
          <w:tcPr>
            <w:tcW w:type="dxa" w:w="565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75,396 (Overpayment flag = 1)</w:t>
            </w:r>
          </w:p>
        </w:tc>
      </w:tr>
      <w:tr>
        <w:trPr>
          <w:cantSplit/>
        </w:trPr>
        <w:tc>
          <w:tcPr>
            <w:tcW w:type="dxa" w:w="3371"/>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Overpayment records</w:t>
            </w:r>
          </w:p>
        </w:tc>
        <w:tc>
          <w:tcPr>
            <w:tcW w:type="dxa" w:w="565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76,075 OP_Ids on 75,396 overpaid claims; a claim can carry several records.</w:t>
            </w:r>
          </w:p>
        </w:tc>
      </w:tr>
      <w:tr>
        <w:trPr>
          <w:cantSplit/>
        </w:trPr>
        <w:tc>
          <w:tcPr>
            <w:tcW w:type="dxa" w:w="337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Team rule</w:t>
            </w:r>
          </w:p>
        </w:tc>
        <w:tc>
          <w:tcPr>
            <w:tcW w:type="dxa" w:w="565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Business Area Level 1 = "NCO OA External Supplier" → External; any other value → Internal; blank → NA. No records were NA.</w:t>
            </w:r>
          </w:p>
        </w:tc>
      </w:tr>
      <w:tr>
        <w:trPr>
          <w:cantSplit/>
        </w:trPr>
        <w:tc>
          <w:tcPr>
            <w:tcW w:type="dxa" w:w="3371"/>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Financial fields available</w:t>
            </w:r>
          </w:p>
        </w:tc>
        <w:tc>
          <w:tcPr>
            <w:tcW w:type="dxa" w:w="565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Total paid (claim), billed charge (line), overpayment amount, original amount, remaining balance</w:t>
            </w:r>
          </w:p>
        </w:tc>
      </w:tr>
      <w:tr>
        <w:trPr>
          <w:cantSplit/>
        </w:trPr>
        <w:tc>
          <w:tcPr>
            <w:tcW w:type="dxa" w:w="337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Financial fields not loaded</w:t>
            </w:r>
          </w:p>
        </w:tc>
        <w:tc>
          <w:tcPr>
            <w:tcW w:type="dxa" w:w="565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Allowed amount, member liability, contract rate</w:t>
            </w:r>
          </w:p>
        </w:tc>
      </w:tr>
      <w:tr>
        <w:trPr>
          <w:cantSplit/>
        </w:trPr>
        <w:tc>
          <w:tcPr>
            <w:tcW w:type="dxa" w:w="3371"/>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Claim dimensions available</w:t>
            </w:r>
          </w:p>
        </w:tc>
        <w:tc>
          <w:tcPr>
            <w:tcW w:type="dxa" w:w="565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Place of service, procedure code, revenue code, modifier, primary diagnosis, provider type, specialty, PIN, TIN, billing NPI, member and service state, claim lines, billed band</w:t>
            </w:r>
          </w:p>
        </w:tc>
      </w:tr>
      <w:tr>
        <w:trPr>
          <w:cantSplit/>
        </w:trPr>
        <w:tc>
          <w:tcPr>
            <w:tcW w:type="dxa" w:w="337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Overpayment dimensions available</w:t>
            </w:r>
          </w:p>
        </w:tc>
        <w:tc>
          <w:tcPr>
            <w:tcW w:type="dxa" w:w="565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Reason, reason category, status, lifecycle, constituent, concept (Project_Name), bucket, business area, validation date</w:t>
            </w:r>
          </w:p>
        </w:tc>
      </w:tr>
      <w:tr>
        <w:trPr>
          <w:cantSplit/>
        </w:trPr>
        <w:tc>
          <w:tcPr>
            <w:tcW w:type="dxa" w:w="3371"/>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Not available</w:t>
            </w:r>
          </w:p>
        </w:tc>
        <w:tc>
          <w:tcPr>
            <w:tcW w:type="dxa" w:w="565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Service units, service dates and length of stay, payer or funding type, member ID, provider contract terms, column-level null counts and data types</w:t>
            </w:r>
          </w:p>
        </w:tc>
      </w:tr>
    </w:tbl>
    <w:p>
      <w:pPr>
        <w:spacing w:after="120"/>
      </w:pPr>
    </w:p>
    <w:p>
      <w:pPr>
        <w:spacing w:after="120" w:line="276"/>
      </w:pPr>
      <w:r>
        <w:rPr>
          <w:rFonts w:ascii="Calibri" w:cs="Calibri" w:eastAsia="Calibri" w:hAnsi="Calibri"/>
          <w:b/>
          <w:bCs/>
          <w:i w:val="false"/>
          <w:iCs w:val="false"/>
          <w:color w:val="595959"/>
          <w:sz w:val="20"/>
          <w:szCs w:val="20"/>
        </w:rPr>
        <w:t xml:space="preserve">Attribution rule.</w:t>
      </w:r>
      <w:r>
        <w:rPr>
          <w:rFonts w:ascii="Calibri" w:cs="Calibri" w:eastAsia="Calibri" w:hAnsi="Calibri"/>
          <w:i w:val="false"/>
          <w:iCs w:val="false"/>
          <w:color w:val="595959"/>
          <w:sz w:val="20"/>
          <w:szCs w:val="20"/>
        </w:rPr>
        <w:t xml:space="preserve"> Claim attributes (codes, setting, provider) come from each claim's highest-charge line. A recheck counting codes on any line gave the same results in Cells 19–20.</w:t>
      </w:r>
    </w:p>
    <w:p>
      <w:pPr>
        <w:pStyle w:val="Heading2"/>
        <w:keepNext/>
        <w:spacing w:after="80" w:before="200"/>
      </w:pPr>
      <w:r>
        <w:rPr>
          <w:rFonts w:ascii="Calibri" w:cs="Calibri" w:eastAsia="Calibri" w:hAnsi="Calibri"/>
          <w:b/>
          <w:bCs/>
          <w:color w:val="1F3864"/>
          <w:sz w:val="25"/>
          <w:szCs w:val="25"/>
        </w:rPr>
        <w:t xml:space="preserve">Who records the overpayments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91"/>
        <w:gridCol w:w="1587"/>
        <w:gridCol w:w="1587"/>
        <w:gridCol w:w="1672"/>
        <w:gridCol w:w="1589"/>
      </w:tblGrid>
      <w:tr>
        <w:trPr>
          <w:tblHeader/>
        </w:trPr>
        <w:tc>
          <w:tcPr>
            <w:tcW w:type="dxa" w:w="2591"/>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Business Area Level 1</w:t>
            </w:r>
          </w:p>
        </w:tc>
        <w:tc>
          <w:tcPr>
            <w:tcW w:type="dxa" w:w="1587"/>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Team</w:t>
            </w:r>
          </w:p>
        </w:tc>
        <w:tc>
          <w:tcPr>
            <w:tcW w:type="dxa" w:w="1587"/>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Records</w:t>
            </w:r>
          </w:p>
        </w:tc>
        <w:tc>
          <w:tcPr>
            <w:tcW w:type="dxa" w:w="1672"/>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Overpaid $</w:t>
            </w:r>
          </w:p>
        </w:tc>
        <w:tc>
          <w:tcPr>
            <w:tcW w:type="dxa" w:w="1589"/>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Recovered</w:t>
            </w:r>
          </w:p>
        </w:tc>
      </w:tr>
      <w:tr>
        <w:trPr>
          <w:cantSplit/>
        </w:trPr>
        <w:tc>
          <w:tcPr>
            <w:tcW w:type="dxa" w:w="259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National Accounts</w:t>
            </w:r>
          </w:p>
        </w:tc>
        <w:tc>
          <w:tcPr>
            <w:tcW w:type="dxa" w:w="158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Internal</w:t>
            </w:r>
          </w:p>
        </w:tc>
        <w:tc>
          <w:tcPr>
            <w:tcW w:type="dxa" w:w="158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26,749</w:t>
            </w:r>
          </w:p>
        </w:tc>
        <w:tc>
          <w:tcPr>
            <w:tcW w:type="dxa" w:w="167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$4.88M</w:t>
            </w:r>
          </w:p>
        </w:tc>
        <w:tc>
          <w:tcPr>
            <w:tcW w:type="dxa" w:w="158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98%</w:t>
            </w:r>
          </w:p>
        </w:tc>
      </w:tr>
      <w:tr>
        <w:trPr>
          <w:cantSplit/>
        </w:trPr>
        <w:tc>
          <w:tcPr>
            <w:tcW w:type="dxa" w:w="2591"/>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NCO OA DM/COE</w:t>
            </w:r>
          </w:p>
        </w:tc>
        <w:tc>
          <w:tcPr>
            <w:tcW w:type="dxa" w:w="158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Internal</w:t>
            </w:r>
          </w:p>
        </w:tc>
        <w:tc>
          <w:tcPr>
            <w:tcW w:type="dxa" w:w="158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16,755</w:t>
            </w:r>
          </w:p>
        </w:tc>
        <w:tc>
          <w:tcPr>
            <w:tcW w:type="dxa" w:w="167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$3.33M</w:t>
            </w:r>
          </w:p>
        </w:tc>
        <w:tc>
          <w:tcPr>
            <w:tcW w:type="dxa" w:w="158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84%</w:t>
            </w:r>
          </w:p>
        </w:tc>
      </w:tr>
      <w:tr>
        <w:trPr>
          <w:cantSplit/>
        </w:trPr>
        <w:tc>
          <w:tcPr>
            <w:tcW w:type="dxa" w:w="259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Regional Business MM/ISM</w:t>
            </w:r>
          </w:p>
        </w:tc>
        <w:tc>
          <w:tcPr>
            <w:tcW w:type="dxa" w:w="158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Internal</w:t>
            </w:r>
          </w:p>
        </w:tc>
        <w:tc>
          <w:tcPr>
            <w:tcW w:type="dxa" w:w="158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13,656</w:t>
            </w:r>
          </w:p>
        </w:tc>
        <w:tc>
          <w:tcPr>
            <w:tcW w:type="dxa" w:w="167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$2.55M</w:t>
            </w:r>
          </w:p>
        </w:tc>
        <w:tc>
          <w:tcPr>
            <w:tcW w:type="dxa" w:w="158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97%</w:t>
            </w:r>
          </w:p>
        </w:tc>
      </w:tr>
      <w:tr>
        <w:trPr>
          <w:cantSplit/>
        </w:trPr>
        <w:tc>
          <w:tcPr>
            <w:tcW w:type="dxa" w:w="2591"/>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NCO OA OPT ADMIN</w:t>
            </w:r>
          </w:p>
        </w:tc>
        <w:tc>
          <w:tcPr>
            <w:tcW w:type="dxa" w:w="158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Internal</w:t>
            </w:r>
          </w:p>
        </w:tc>
        <w:tc>
          <w:tcPr>
            <w:tcW w:type="dxa" w:w="158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9,901</w:t>
            </w:r>
          </w:p>
        </w:tc>
        <w:tc>
          <w:tcPr>
            <w:tcW w:type="dxa" w:w="167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$0.09M</w:t>
            </w:r>
          </w:p>
        </w:tc>
        <w:tc>
          <w:tcPr>
            <w:tcW w:type="dxa" w:w="158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100%</w:t>
            </w:r>
          </w:p>
        </w:tc>
      </w:tr>
      <w:tr>
        <w:trPr>
          <w:cantSplit/>
        </w:trPr>
        <w:tc>
          <w:tcPr>
            <w:tcW w:type="dxa" w:w="259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NCO OA External Supplier</w:t>
            </w:r>
          </w:p>
        </w:tc>
        <w:tc>
          <w:tcPr>
            <w:tcW w:type="dxa" w:w="158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External</w:t>
            </w:r>
          </w:p>
        </w:tc>
        <w:tc>
          <w:tcPr>
            <w:tcW w:type="dxa" w:w="158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9,014</w:t>
            </w:r>
          </w:p>
        </w:tc>
        <w:tc>
          <w:tcPr>
            <w:tcW w:type="dxa" w:w="167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$2.32M</w:t>
            </w:r>
          </w:p>
        </w:tc>
        <w:tc>
          <w:tcPr>
            <w:tcW w:type="dxa" w:w="158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73%</w:t>
            </w:r>
          </w:p>
        </w:tc>
      </w:tr>
    </w:tbl>
    <w:p>
      <w:pPr>
        <w:spacing w:after="120"/>
      </w:pPr>
    </w:p>
    <w:p>
      <w:pPr>
        <w:pStyle w:val="Heading1"/>
        <w:pageBreakBefore/>
        <w:pBdr>
          <w:bottom w:val="single" w:color="2E75B6" w:sz="8" w:space="2"/>
        </w:pBdr>
        <w:spacing w:after="120" w:before="240"/>
      </w:pPr>
      <w:r>
        <w:rPr>
          <w:rFonts w:ascii="Calibri" w:cs="Calibri" w:eastAsia="Calibri" w:hAnsi="Calibri"/>
          <w:b/>
          <w:bCs/>
          <w:color w:val="2E75B6"/>
          <w:sz w:val="32"/>
          <w:szCs w:val="32"/>
        </w:rPr>
        <w:t xml:space="preserve">3. Data quality assessment</w:t>
      </w:r>
    </w:p>
    <w:p>
      <w:pPr>
        <w:spacing w:after="120" w:line="276"/>
      </w:pPr>
      <w:r>
        <w:rPr>
          <w:rFonts w:ascii="Calibri" w:cs="Calibri" w:eastAsia="Calibri" w:hAnsi="Calibri"/>
          <w:i w:val="false"/>
          <w:iCs w:val="false"/>
          <w:color w:val="262626"/>
          <w:sz w:val="22"/>
          <w:szCs w:val="22"/>
        </w:rPr>
        <w:t xml:space="preserve">No column-level null, type or duplicate profile was run, so the table lists the issues visible in the outputs. None of these is assumed to be an error until checked.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86"/>
        <w:gridCol w:w="2268"/>
        <w:gridCol w:w="1042"/>
        <w:gridCol w:w="1898"/>
        <w:gridCol w:w="2232"/>
      </w:tblGrid>
      <w:tr>
        <w:trPr>
          <w:tblHeader/>
        </w:trPr>
        <w:tc>
          <w:tcPr>
            <w:tcW w:type="dxa" w:w="1586"/>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Issue</w:t>
            </w:r>
          </w:p>
        </w:tc>
        <w:tc>
          <w:tcPr>
            <w:tcW w:type="dxa" w:w="2268"/>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Evidence</w:t>
            </w:r>
          </w:p>
        </w:tc>
        <w:tc>
          <w:tcPr>
            <w:tcW w:type="dxa" w:w="1042"/>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Records</w:t>
            </w:r>
          </w:p>
        </w:tc>
        <w:tc>
          <w:tcPr>
            <w:tcW w:type="dxa" w:w="1898"/>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Impact</w:t>
            </w:r>
          </w:p>
        </w:tc>
        <w:tc>
          <w:tcPr>
            <w:tcW w:type="dxa" w:w="2232"/>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Action</w:t>
            </w:r>
          </w:p>
        </w:tc>
      </w:tr>
      <w:tr>
        <w:trPr>
          <w:cantSplit/>
        </w:trPr>
        <w:tc>
          <w:tcPr>
            <w:tcW w:type="dxa" w:w="158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Recent months not mature</w:t>
            </w:r>
          </w:p>
        </w:tc>
        <w:tc>
          <w:tcPr>
            <w:tcW w:type="dxa" w:w="226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OP rate falls from ~1% to 0.33% (Jul 2026) and 0.12% (Aug 2026); 10% of Internal records validate 441+ days after processing</w:t>
            </w:r>
          </w:p>
        </w:tc>
        <w:tc>
          <w:tcPr>
            <w:tcW w:type="dxa" w:w="104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Jun–Aug 2026 claims</w:t>
            </w:r>
          </w:p>
        </w:tc>
        <w:tc>
          <w:tcPr>
            <w:tcW w:type="dxa" w:w="189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Trend and rate understated for recent months; labels incomplete</w:t>
            </w:r>
          </w:p>
        </w:tc>
        <w:tc>
          <w:tcPr>
            <w:tcW w:type="dxa" w:w="223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Exclude the latest 6+ months from rates and model labels, or report them as provisional</w:t>
            </w:r>
          </w:p>
        </w:tc>
      </w:tr>
      <w:tr>
        <w:trPr>
          <w:cantSplit/>
        </w:trPr>
        <w:tc>
          <w:tcPr>
            <w:tcW w:type="dxa" w:w="158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September 2026 missing</w:t>
            </w:r>
          </w:p>
        </w:tc>
        <w:tc>
          <w:tcPr>
            <w:tcW w:type="dxa" w:w="226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Totals return 20 months although the period ends 30 Sep 2026</w:t>
            </w:r>
          </w:p>
        </w:tc>
        <w:tc>
          <w:tcPr>
            <w:tcW w:type="dxa" w:w="104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w:t>
            </w:r>
          </w:p>
        </w:tc>
        <w:tc>
          <w:tcPr>
            <w:tcW w:type="dxa" w:w="189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Period stated in config is longer than the data</w:t>
            </w:r>
          </w:p>
        </w:tc>
        <w:tc>
          <w:tcPr>
            <w:tcW w:type="dxa" w:w="223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Check the pipeline's validation-date window</w:t>
            </w:r>
          </w:p>
        </w:tc>
      </w:tr>
      <w:tr>
        <w:trPr>
          <w:cantSplit/>
        </w:trPr>
        <w:tc>
          <w:tcPr>
            <w:tcW w:type="dxa" w:w="158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One provider dominates record counts</w:t>
            </w:r>
          </w:p>
        </w:tc>
        <w:tc>
          <w:tcPr>
            <w:tcW w:type="dxa" w:w="226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PIN 0006402711: 10,054 records (13% of all), $107K, about $11 each, 0.2% External. NCO OA OPT ADMIN: 9,901 records, $89K, about $9 each</w:t>
            </w:r>
          </w:p>
        </w:tc>
        <w:tc>
          <w:tcPr>
            <w:tcW w:type="dxa" w:w="104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~10,000</w:t>
            </w:r>
          </w:p>
        </w:tc>
        <w:tc>
          <w:tcPr>
            <w:tcW w:type="dxa" w:w="189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Inflates Internal counts and drags down External's record share</w:t>
            </w:r>
          </w:p>
        </w:tc>
        <w:tc>
          <w:tcPr>
            <w:tcW w:type="dxa" w:w="223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Confirm whether these are the same records and report counts with and without them</w:t>
            </w:r>
          </w:p>
        </w:tc>
      </w:tr>
      <w:tr>
        <w:trPr>
          <w:cantSplit/>
        </w:trPr>
        <w:tc>
          <w:tcPr>
            <w:tcW w:type="dxa" w:w="158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Recovery estimate treats Closed as recovered</w:t>
            </w:r>
          </w:p>
        </w:tc>
        <w:tc>
          <w:tcPr>
            <w:tcW w:type="dxa" w:w="226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Recovered = amount − remaining balance; Closed records show 100% recovered</w:t>
            </w:r>
          </w:p>
        </w:tc>
        <w:tc>
          <w:tcPr>
            <w:tcW w:type="dxa" w:w="104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2,431 ($121K)</w:t>
            </w:r>
          </w:p>
        </w:tc>
        <w:tc>
          <w:tcPr>
            <w:tcW w:type="dxa" w:w="189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Recovery rates slightly overstated</w:t>
            </w:r>
          </w:p>
        </w:tc>
        <w:tc>
          <w:tcPr>
            <w:tcW w:type="dxa" w:w="223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Report Closed separately from Recovered</w:t>
            </w:r>
          </w:p>
        </w:tc>
      </w:tr>
      <w:tr>
        <w:trPr>
          <w:cantSplit/>
        </w:trPr>
        <w:tc>
          <w:tcPr>
            <w:tcW w:type="dxa" w:w="158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Zero-dollar and "No Overpayment" records</w:t>
            </w:r>
          </w:p>
        </w:tc>
        <w:tc>
          <w:tcPr>
            <w:tcW w:type="dxa" w:w="226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988 "No Overpayment" records (661 External) still carry $38K External amount; several External reasons have a $0 median</w:t>
            </w:r>
          </w:p>
        </w:tc>
        <w:tc>
          <w:tcPr>
            <w:tcW w:type="dxa" w:w="104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≥988</w:t>
            </w:r>
          </w:p>
        </w:tc>
        <w:tc>
          <w:tcPr>
            <w:tcW w:type="dxa" w:w="189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Counts include cases that recovered nothing</w:t>
            </w:r>
          </w:p>
        </w:tc>
        <w:tc>
          <w:tcPr>
            <w:tcW w:type="dxa" w:w="223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Flag $0 records and decide whether to exclude</w:t>
            </w:r>
          </w:p>
        </w:tc>
      </w:tr>
      <w:tr>
        <w:trPr>
          <w:cantSplit/>
        </w:trPr>
        <w:tc>
          <w:tcPr>
            <w:tcW w:type="dxa" w:w="158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Same issue, different reason labels</w:t>
            </w:r>
          </w:p>
        </w:tc>
        <w:tc>
          <w:tcPr>
            <w:tcW w:type="dxa" w:w="226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COB-Commercial Not Known: External records "Commercial OBD Error" (99.8% External), Internal mostly "COB other carrier info not avail" (1% External)</w:t>
            </w:r>
          </w:p>
        </w:tc>
        <w:tc>
          <w:tcPr>
            <w:tcW w:type="dxa" w:w="104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8,733</w:t>
            </w:r>
          </w:p>
        </w:tc>
        <w:tc>
          <w:tcPr>
            <w:tcW w:type="dxa" w:w="189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Reason-level views overstate how separate the teams' work is</w:t>
            </w:r>
          </w:p>
        </w:tc>
        <w:tc>
          <w:tcPr>
            <w:tcW w:type="dxa" w:w="223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Map reasons to a common issue taxonomy before comparing</w:t>
            </w:r>
          </w:p>
        </w:tc>
      </w:tr>
      <w:tr>
        <w:trPr>
          <w:cantSplit/>
        </w:trPr>
        <w:tc>
          <w:tcPr>
            <w:tcW w:type="dxa" w:w="158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Concept and bucket mostly blank</w:t>
            </w:r>
          </w:p>
        </w:tc>
        <w:tc>
          <w:tcPr>
            <w:tcW w:type="dxa" w:w="226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Concept (Project_Name) missing on 90% of External records; bucket missing on 100%</w:t>
            </w:r>
          </w:p>
        </w:tc>
        <w:tc>
          <w:tcPr>
            <w:tcW w:type="dxa" w:w="104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8,161 / 9,014</w:t>
            </w:r>
          </w:p>
        </w:tc>
        <w:tc>
          <w:tcPr>
            <w:tcW w:type="dxa" w:w="189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Concept cannot explain External patterns</w:t>
            </w:r>
          </w:p>
        </w:tc>
        <w:tc>
          <w:tcPr>
            <w:tcW w:type="dxa" w:w="223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Source concepts from the vendor feed if available</w:t>
            </w:r>
          </w:p>
        </w:tc>
      </w:tr>
      <w:tr>
        <w:trPr>
          <w:cantSplit/>
        </w:trPr>
        <w:tc>
          <w:tcPr>
            <w:tcW w:type="dxa" w:w="158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Billing NPI "0"</w:t>
            </w:r>
          </w:p>
        </w:tc>
        <w:tc>
          <w:tcPr>
            <w:tcW w:type="dxa" w:w="226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Placeholder NPI with 58.1% External share</w:t>
            </w:r>
          </w:p>
        </w:tc>
        <w:tc>
          <w:tcPr>
            <w:tcW w:type="dxa" w:w="104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853</w:t>
            </w:r>
          </w:p>
        </w:tc>
        <w:tc>
          <w:tcPr>
            <w:tcW w:type="dxa" w:w="189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Looks like a provider signal but is a missing value</w:t>
            </w:r>
          </w:p>
        </w:tc>
        <w:tc>
          <w:tcPr>
            <w:tcW w:type="dxa" w:w="223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Treat as missing</w:t>
            </w:r>
          </w:p>
        </w:tc>
      </w:tr>
      <w:tr>
        <w:trPr>
          <w:cantSplit/>
        </w:trPr>
        <w:tc>
          <w:tcPr>
            <w:tcW w:type="dxa" w:w="158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Non-BH primary diagnoses</w:t>
            </w:r>
          </w:p>
        </w:tc>
        <w:tc>
          <w:tcPr>
            <w:tcW w:type="dxa" w:w="226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Z5111 (chemotherapy) and M542 (neck pain) on overpaid BH claims</w:t>
            </w:r>
          </w:p>
        </w:tc>
        <w:tc>
          <w:tcPr>
            <w:tcW w:type="dxa" w:w="104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76</w:t>
            </w:r>
          </w:p>
        </w:tc>
        <w:tc>
          <w:tcPr>
            <w:tcW w:type="dxa" w:w="189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May indicate a secondary-diagnosis BH flag or scope leak</w:t>
            </w:r>
          </w:p>
        </w:tc>
        <w:tc>
          <w:tcPr>
            <w:tcW w:type="dxa" w:w="223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Check which diagnosis position the BH flag uses</w:t>
            </w:r>
          </w:p>
        </w:tc>
      </w:tr>
      <w:tr>
        <w:trPr>
          <w:cantSplit/>
        </w:trPr>
        <w:tc>
          <w:tcPr>
            <w:tcW w:type="dxa" w:w="158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Reason name not matched</w:t>
            </w:r>
          </w:p>
        </w:tc>
        <w:tc>
          <w:tcPr>
            <w:tcW w:type="dxa" w:w="226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"Incorrect Rev Code" returned no records in Cell 22</w:t>
            </w:r>
          </w:p>
        </w:tc>
        <w:tc>
          <w:tcPr>
            <w:tcW w:type="dxa" w:w="104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w:t>
            </w:r>
          </w:p>
        </w:tc>
        <w:tc>
          <w:tcPr>
            <w:tcW w:type="dxa" w:w="189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Shared-reason total may be understated</w:t>
            </w:r>
          </w:p>
        </w:tc>
        <w:tc>
          <w:tcPr>
            <w:tcW w:type="dxa" w:w="223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List distinct reason values</w:t>
            </w:r>
          </w:p>
        </w:tc>
      </w:tr>
      <w:tr>
        <w:trPr>
          <w:cantSplit/>
        </w:trPr>
        <w:tc>
          <w:tcPr>
            <w:tcW w:type="dxa" w:w="158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Notebook text out of date</w:t>
            </w:r>
          </w:p>
        </w:tc>
        <w:tc>
          <w:tcPr>
            <w:tcW w:type="dxa" w:w="226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Cell 10 chart titles state 79%, 7 in 10, "almost half" and "claim size strongest"; the current data gives 73%, 62%, 28.5% and TIN. Cell 16 types in figures not produced by this run</w:t>
            </w:r>
          </w:p>
        </w:tc>
        <w:tc>
          <w:tcPr>
            <w:tcW w:type="dxa" w:w="104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w:t>
            </w:r>
          </w:p>
        </w:tc>
        <w:tc>
          <w:tcPr>
            <w:tcW w:type="dxa" w:w="189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Charts and the saved .docx would mislead readers</w:t>
            </w:r>
          </w:p>
        </w:tc>
        <w:tc>
          <w:tcPr>
            <w:tcW w:type="dxa" w:w="223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Compute titles from the data; do not circulate the Cell 16 document</w:t>
            </w:r>
          </w:p>
        </w:tc>
      </w:tr>
      <w:tr>
        <w:trPr>
          <w:cantSplit/>
        </w:trPr>
        <w:tc>
          <w:tcPr>
            <w:tcW w:type="dxa" w:w="158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Non-BH code checks</w:t>
            </w:r>
          </w:p>
        </w:tc>
        <w:tc>
          <w:tcPr>
            <w:tcW w:type="dxa" w:w="226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Cells 17, 19–21 test surgical, implant and CT codes: 0 records</w:t>
            </w:r>
          </w:p>
        </w:tc>
        <w:tc>
          <w:tcPr>
            <w:tcW w:type="dxa" w:w="104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0</w:t>
            </w:r>
          </w:p>
        </w:tc>
        <w:tc>
          <w:tcPr>
            <w:tcW w:type="dxa" w:w="189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Uninformative for BH</w:t>
            </w:r>
          </w:p>
        </w:tc>
        <w:tc>
          <w:tcPr>
            <w:tcW w:type="dxa" w:w="223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Retire these checks; Cells 19 and 20 also overwrite the same Excel file</w:t>
            </w:r>
          </w:p>
        </w:tc>
      </w:tr>
    </w:tbl>
    <w:p>
      <w:pPr>
        <w:spacing w:after="120"/>
      </w:pPr>
    </w:p>
    <w:p>
      <w:pPr>
        <w:pStyle w:val="Heading1"/>
        <w:pageBreakBefore/>
        <w:pBdr>
          <w:bottom w:val="single" w:color="2E75B6" w:sz="8" w:space="2"/>
        </w:pBdr>
        <w:spacing w:after="120" w:before="240"/>
      </w:pPr>
      <w:r>
        <w:rPr>
          <w:rFonts w:ascii="Calibri" w:cs="Calibri" w:eastAsia="Calibri" w:hAnsi="Calibri"/>
          <w:b/>
          <w:bCs/>
          <w:color w:val="2E75B6"/>
          <w:sz w:val="32"/>
          <w:szCs w:val="32"/>
        </w:rPr>
        <w:t xml:space="preserve">4. Univariate analysis</w:t>
      </w:r>
    </w:p>
    <w:p>
      <w:pPr>
        <w:pStyle w:val="Heading2"/>
        <w:keepNext/>
        <w:spacing w:after="80" w:before="200"/>
      </w:pPr>
      <w:r>
        <w:rPr>
          <w:rFonts w:ascii="Calibri" w:cs="Calibri" w:eastAsia="Calibri" w:hAnsi="Calibri"/>
          <w:b/>
          <w:bCs/>
          <w:color w:val="1F3864"/>
          <w:sz w:val="25"/>
          <w:szCs w:val="25"/>
        </w:rPr>
        <w:t xml:space="preserve">Overpayment amounts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90"/>
        <w:gridCol w:w="1490"/>
        <w:gridCol w:w="1571"/>
        <w:gridCol w:w="1490"/>
        <w:gridCol w:w="1490"/>
        <w:gridCol w:w="1495"/>
      </w:tblGrid>
      <w:tr>
        <w:trPr>
          <w:tblHeader/>
        </w:trPr>
        <w:tc>
          <w:tcPr>
            <w:tcW w:type="dxa" w:w="1490"/>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Team</w:t>
            </w:r>
          </w:p>
        </w:tc>
        <w:tc>
          <w:tcPr>
            <w:tcW w:type="dxa" w:w="1490"/>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Records</w:t>
            </w:r>
          </w:p>
        </w:tc>
        <w:tc>
          <w:tcPr>
            <w:tcW w:type="dxa" w:w="1571"/>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Overpaid $</w:t>
            </w:r>
          </w:p>
        </w:tc>
        <w:tc>
          <w:tcPr>
            <w:tcW w:type="dxa" w:w="1490"/>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Median</w:t>
            </w:r>
          </w:p>
        </w:tc>
        <w:tc>
          <w:tcPr>
            <w:tcW w:type="dxa" w:w="1490"/>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Average</w:t>
            </w:r>
          </w:p>
        </w:tc>
        <w:tc>
          <w:tcPr>
            <w:tcW w:type="dxa" w:w="1495"/>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Recovered</w:t>
            </w:r>
          </w:p>
        </w:tc>
      </w:tr>
      <w:tr>
        <w:trPr>
          <w:cantSplit/>
        </w:trPr>
        <w:tc>
          <w:tcPr>
            <w:tcW w:type="dxa" w:w="149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Internal</w:t>
            </w:r>
          </w:p>
        </w:tc>
        <w:tc>
          <w:tcPr>
            <w:tcW w:type="dxa" w:w="149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67,061</w:t>
            </w:r>
          </w:p>
        </w:tc>
        <w:tc>
          <w:tcPr>
            <w:tcW w:type="dxa" w:w="157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$10.85M</w:t>
            </w:r>
          </w:p>
        </w:tc>
        <w:tc>
          <w:tcPr>
            <w:tcW w:type="dxa" w:w="149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$107</w:t>
            </w:r>
          </w:p>
        </w:tc>
        <w:tc>
          <w:tcPr>
            <w:tcW w:type="dxa" w:w="149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$162</w:t>
            </w:r>
          </w:p>
        </w:tc>
        <w:tc>
          <w:tcPr>
            <w:tcW w:type="dxa" w:w="149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93.4%</w:t>
            </w:r>
          </w:p>
        </w:tc>
      </w:tr>
      <w:tr>
        <w:trPr>
          <w:cantSplit/>
        </w:trPr>
        <w:tc>
          <w:tcPr>
            <w:tcW w:type="dxa" w:w="149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External</w:t>
            </w:r>
          </w:p>
        </w:tc>
        <w:tc>
          <w:tcPr>
            <w:tcW w:type="dxa" w:w="149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9,014</w:t>
            </w:r>
          </w:p>
        </w:tc>
        <w:tc>
          <w:tcPr>
            <w:tcW w:type="dxa" w:w="1571"/>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$2.32M</w:t>
            </w:r>
          </w:p>
        </w:tc>
        <w:tc>
          <w:tcPr>
            <w:tcW w:type="dxa" w:w="149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$122</w:t>
            </w:r>
          </w:p>
        </w:tc>
        <w:tc>
          <w:tcPr>
            <w:tcW w:type="dxa" w:w="149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$257</w:t>
            </w:r>
          </w:p>
        </w:tc>
        <w:tc>
          <w:tcPr>
            <w:tcW w:type="dxa" w:w="149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73.3%</w:t>
            </w:r>
          </w:p>
        </w:tc>
      </w:tr>
      <w:tr>
        <w:trPr>
          <w:cantSplit/>
        </w:trPr>
        <w:tc>
          <w:tcPr>
            <w:tcW w:type="dxa" w:w="149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All</w:t>
            </w:r>
          </w:p>
        </w:tc>
        <w:tc>
          <w:tcPr>
            <w:tcW w:type="dxa" w:w="149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76,075</w:t>
            </w:r>
          </w:p>
        </w:tc>
        <w:tc>
          <w:tcPr>
            <w:tcW w:type="dxa" w:w="157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$13.17M</w:t>
            </w:r>
          </w:p>
        </w:tc>
        <w:tc>
          <w:tcPr>
            <w:tcW w:type="dxa" w:w="149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w:t>
            </w:r>
          </w:p>
        </w:tc>
        <w:tc>
          <w:tcPr>
            <w:tcW w:type="dxa" w:w="149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$173</w:t>
            </w:r>
          </w:p>
        </w:tc>
        <w:tc>
          <w:tcPr>
            <w:tcW w:type="dxa" w:w="149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89.9%</w:t>
            </w:r>
          </w:p>
        </w:tc>
      </w:tr>
    </w:tbl>
    <w:p>
      <w:pPr>
        <w:spacing w:after="120"/>
      </w:pPr>
    </w:p>
    <w:p>
      <w:pPr>
        <w:spacing w:after="120" w:line="276"/>
      </w:pPr>
      <w:r>
        <w:rPr>
          <w:rFonts w:ascii="Calibri" w:cs="Calibri" w:eastAsia="Calibri" w:hAnsi="Calibri"/>
          <w:b/>
          <w:bCs/>
          <w:i w:val="false"/>
          <w:iCs w:val="false"/>
          <w:color w:val="FFFFFF"/>
          <w:sz w:val="18"/>
          <w:szCs w:val="18"/>
          <w:shd w:fill="2E75B6" w:color="auto" w:val="clear"/>
        </w:rPr>
        <w:t xml:space="preserve">Observation</w:t>
      </w:r>
      <w:r>
        <w:rPr>
          <w:rFonts w:ascii="Calibri" w:cs="Calibri" w:eastAsia="Calibri" w:hAnsi="Calibri"/>
          <w:i w:val="false"/>
          <w:iCs w:val="false"/>
          <w:color w:val="262626"/>
          <w:sz w:val="22"/>
          <w:szCs w:val="22"/>
        </w:rPr>
        <w:t xml:space="preserve">  Amounts are heavily right-skewed: the average is well above the median for both teams, so a small number of large overpayments carries much of the money. Full percentiles and a histogram are </w:t>
      </w:r>
      <w:r>
        <w:rPr>
          <w:rFonts w:ascii="Calibri" w:cs="Calibri" w:eastAsia="Calibri" w:hAnsi="Calibri"/>
          <w:i/>
          <w:iCs/>
          <w:color w:val="595959"/>
          <w:sz w:val="22"/>
          <w:szCs w:val="22"/>
        </w:rPr>
        <w:t xml:space="preserve">not available in the provided EDA outputs</w:t>
      </w:r>
      <w:r>
        <w:rPr>
          <w:rFonts w:ascii="Calibri" w:cs="Calibri" w:eastAsia="Calibri" w:hAnsi="Calibri"/>
          <w:i w:val="false"/>
          <w:iCs w:val="false"/>
          <w:color w:val="262626"/>
          <w:sz w:val="22"/>
          <w:szCs w:val="22"/>
        </w:rPr>
        <w:t xml:space="preserve">.</w:t>
      </w:r>
    </w:p>
    <w:p>
      <w:pPr>
        <w:pStyle w:val="Heading2"/>
        <w:keepNext/>
        <w:spacing w:after="80" w:before="200"/>
      </w:pPr>
      <w:r>
        <w:rPr>
          <w:rFonts w:ascii="Calibri" w:cs="Calibri" w:eastAsia="Calibri" w:hAnsi="Calibri"/>
          <w:b/>
          <w:bCs/>
          <w:color w:val="1F3864"/>
          <w:sz w:val="25"/>
          <w:szCs w:val="25"/>
        </w:rPr>
        <w:t xml:space="preserve">Claim size and shape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89"/>
        <w:gridCol w:w="2005"/>
        <w:gridCol w:w="2316"/>
        <w:gridCol w:w="2116"/>
      </w:tblGrid>
      <w:tr>
        <w:trPr>
          <w:tblHeader/>
        </w:trPr>
        <w:tc>
          <w:tcPr>
            <w:tcW w:type="dxa" w:w="2589"/>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Billed on claim</w:t>
            </w:r>
          </w:p>
        </w:tc>
        <w:tc>
          <w:tcPr>
            <w:tcW w:type="dxa" w:w="2005"/>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Records</w:t>
            </w:r>
          </w:p>
        </w:tc>
        <w:tc>
          <w:tcPr>
            <w:tcW w:type="dxa" w:w="2316"/>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 of records</w:t>
            </w:r>
          </w:p>
        </w:tc>
        <w:tc>
          <w:tcPr>
            <w:tcW w:type="dxa" w:w="2116"/>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Overpaid $</w:t>
            </w:r>
          </w:p>
        </w:tc>
      </w:tr>
      <w:tr>
        <w:trPr>
          <w:cantSplit/>
        </w:trPr>
        <w:tc>
          <w:tcPr>
            <w:tcW w:type="dxa" w:w="258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Under $200</w:t>
            </w:r>
          </w:p>
        </w:tc>
        <w:tc>
          <w:tcPr>
            <w:tcW w:type="dxa" w:w="200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14,759</w:t>
            </w:r>
          </w:p>
        </w:tc>
        <w:tc>
          <w:tcPr>
            <w:tcW w:type="dxa" w:w="231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19.4%</w:t>
            </w:r>
          </w:p>
        </w:tc>
        <w:tc>
          <w:tcPr>
            <w:tcW w:type="dxa" w:w="211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$1.56M</w:t>
            </w:r>
          </w:p>
        </w:tc>
      </w:tr>
      <w:tr>
        <w:trPr>
          <w:cantSplit/>
        </w:trPr>
        <w:tc>
          <w:tcPr>
            <w:tcW w:type="dxa" w:w="258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$200–500</w:t>
            </w:r>
          </w:p>
        </w:tc>
        <w:tc>
          <w:tcPr>
            <w:tcW w:type="dxa" w:w="200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51,751</w:t>
            </w:r>
          </w:p>
        </w:tc>
        <w:tc>
          <w:tcPr>
            <w:tcW w:type="dxa" w:w="231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68.0%</w:t>
            </w:r>
          </w:p>
        </w:tc>
        <w:tc>
          <w:tcPr>
            <w:tcW w:type="dxa" w:w="211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$5.89M</w:t>
            </w:r>
          </w:p>
        </w:tc>
      </w:tr>
      <w:tr>
        <w:trPr>
          <w:cantSplit/>
        </w:trPr>
        <w:tc>
          <w:tcPr>
            <w:tcW w:type="dxa" w:w="258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$500–1K</w:t>
            </w:r>
          </w:p>
        </w:tc>
        <w:tc>
          <w:tcPr>
            <w:tcW w:type="dxa" w:w="200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6,504</w:t>
            </w:r>
          </w:p>
        </w:tc>
        <w:tc>
          <w:tcPr>
            <w:tcW w:type="dxa" w:w="231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8.5%</w:t>
            </w:r>
          </w:p>
        </w:tc>
        <w:tc>
          <w:tcPr>
            <w:tcW w:type="dxa" w:w="211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$1.47M</w:t>
            </w:r>
          </w:p>
        </w:tc>
      </w:tr>
      <w:tr>
        <w:trPr>
          <w:cantSplit/>
        </w:trPr>
        <w:tc>
          <w:tcPr>
            <w:tcW w:type="dxa" w:w="258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$1K–5K</w:t>
            </w:r>
          </w:p>
        </w:tc>
        <w:tc>
          <w:tcPr>
            <w:tcW w:type="dxa" w:w="200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2,143</w:t>
            </w:r>
          </w:p>
        </w:tc>
        <w:tc>
          <w:tcPr>
            <w:tcW w:type="dxa" w:w="231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2.8%</w:t>
            </w:r>
          </w:p>
        </w:tc>
        <w:tc>
          <w:tcPr>
            <w:tcW w:type="dxa" w:w="211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$1.74M</w:t>
            </w:r>
          </w:p>
        </w:tc>
      </w:tr>
      <w:tr>
        <w:trPr>
          <w:cantSplit/>
        </w:trPr>
        <w:tc>
          <w:tcPr>
            <w:tcW w:type="dxa" w:w="258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$5K–20K</w:t>
            </w:r>
          </w:p>
        </w:tc>
        <w:tc>
          <w:tcPr>
            <w:tcW w:type="dxa" w:w="200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629</w:t>
            </w:r>
          </w:p>
        </w:tc>
        <w:tc>
          <w:tcPr>
            <w:tcW w:type="dxa" w:w="231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0.8%</w:t>
            </w:r>
          </w:p>
        </w:tc>
        <w:tc>
          <w:tcPr>
            <w:tcW w:type="dxa" w:w="211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$1.38M</w:t>
            </w:r>
          </w:p>
        </w:tc>
      </w:tr>
      <w:tr>
        <w:trPr>
          <w:cantSplit/>
        </w:trPr>
        <w:tc>
          <w:tcPr>
            <w:tcW w:type="dxa" w:w="258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$20K+</w:t>
            </w:r>
          </w:p>
        </w:tc>
        <w:tc>
          <w:tcPr>
            <w:tcW w:type="dxa" w:w="200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289</w:t>
            </w:r>
          </w:p>
        </w:tc>
        <w:tc>
          <w:tcPr>
            <w:tcW w:type="dxa" w:w="231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0.4%</w:t>
            </w:r>
          </w:p>
        </w:tc>
        <w:tc>
          <w:tcPr>
            <w:tcW w:type="dxa" w:w="211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$1.12M</w:t>
            </w:r>
          </w:p>
        </w:tc>
      </w:tr>
    </w:tbl>
    <w:p>
      <w:pPr>
        <w:spacing w:after="120"/>
      </w:pPr>
    </w:p>
    <w:p>
      <w:pPr>
        <w:spacing w:after="120" w:line="276"/>
      </w:pPr>
      <w:r>
        <w:rPr>
          <w:rFonts w:ascii="Calibri" w:cs="Calibri" w:eastAsia="Calibri" w:hAnsi="Calibri"/>
          <w:b/>
          <w:bCs/>
          <w:i w:val="false"/>
          <w:iCs w:val="false"/>
          <w:color w:val="FFFFFF"/>
          <w:sz w:val="18"/>
          <w:szCs w:val="18"/>
          <w:shd w:fill="2E75B6" w:color="auto" w:val="clear"/>
        </w:rPr>
        <w:t xml:space="preserve">Observation</w:t>
      </w:r>
      <w:r>
        <w:rPr>
          <w:rFonts w:ascii="Calibri" w:cs="Calibri" w:eastAsia="Calibri" w:hAnsi="Calibri"/>
          <w:i w:val="false"/>
          <w:iCs w:val="false"/>
          <w:color w:val="262626"/>
          <w:sz w:val="22"/>
          <w:szCs w:val="22"/>
        </w:rPr>
        <w:t xml:space="preserve">  80% of records are single-line claims (61,146) and 68% are billed $200–500, which is the typical single psychotherapy or E/M visit. Claims billed $5K+ are 1.2% of records but 19% of overpaid dollars.</w:t>
      </w:r>
    </w:p>
    <w:p>
      <w:pPr>
        <w:pStyle w:val="Heading2"/>
        <w:keepNext/>
        <w:spacing w:after="80" w:before="200"/>
      </w:pPr>
      <w:r>
        <w:rPr>
          <w:rFonts w:ascii="Calibri" w:cs="Calibri" w:eastAsia="Calibri" w:hAnsi="Calibri"/>
          <w:b/>
          <w:bCs/>
          <w:color w:val="1F3864"/>
          <w:sz w:val="25"/>
          <w:szCs w:val="25"/>
        </w:rPr>
        <w:t xml:space="preserve">Reason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30"/>
        <w:gridCol w:w="1665"/>
        <w:gridCol w:w="1755"/>
        <w:gridCol w:w="2776"/>
      </w:tblGrid>
      <w:tr>
        <w:trPr>
          <w:tblHeader/>
        </w:trPr>
        <w:tc>
          <w:tcPr>
            <w:tcW w:type="dxa" w:w="2830"/>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Reason category</w:t>
            </w:r>
          </w:p>
        </w:tc>
        <w:tc>
          <w:tcPr>
            <w:tcW w:type="dxa" w:w="1665"/>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Records</w:t>
            </w:r>
          </w:p>
        </w:tc>
        <w:tc>
          <w:tcPr>
            <w:tcW w:type="dxa" w:w="1755"/>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Overpaid $</w:t>
            </w:r>
          </w:p>
        </w:tc>
        <w:tc>
          <w:tcPr>
            <w:tcW w:type="dxa" w:w="2776"/>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External share of records</w:t>
            </w:r>
          </w:p>
        </w:tc>
      </w:tr>
      <w:tr>
        <w:trPr>
          <w:cantSplit/>
        </w:trPr>
        <w:tc>
          <w:tcPr>
            <w:tcW w:type="dxa" w:w="283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Other</w:t>
            </w:r>
          </w:p>
        </w:tc>
        <w:tc>
          <w:tcPr>
            <w:tcW w:type="dxa" w:w="166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35,589</w:t>
            </w:r>
          </w:p>
        </w:tc>
        <w:tc>
          <w:tcPr>
            <w:tcW w:type="dxa" w:w="175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$6.53M</w:t>
            </w:r>
          </w:p>
        </w:tc>
        <w:tc>
          <w:tcPr>
            <w:tcW w:type="dxa" w:w="277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2.3%</w:t>
            </w:r>
          </w:p>
        </w:tc>
      </w:tr>
      <w:tr>
        <w:trPr>
          <w:cantSplit/>
        </w:trPr>
        <w:tc>
          <w:tcPr>
            <w:tcW w:type="dxa" w:w="283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Contract – Administration</w:t>
            </w:r>
          </w:p>
        </w:tc>
        <w:tc>
          <w:tcPr>
            <w:tcW w:type="dxa" w:w="166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10,571</w:t>
            </w:r>
          </w:p>
        </w:tc>
        <w:tc>
          <w:tcPr>
            <w:tcW w:type="dxa" w:w="175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$0.68M</w:t>
            </w:r>
          </w:p>
        </w:tc>
        <w:tc>
          <w:tcPr>
            <w:tcW w:type="dxa" w:w="277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4.0%</w:t>
            </w:r>
          </w:p>
        </w:tc>
      </w:tr>
      <w:tr>
        <w:trPr>
          <w:cantSplit/>
        </w:trPr>
        <w:tc>
          <w:tcPr>
            <w:tcW w:type="dxa" w:w="283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Termination</w:t>
            </w:r>
          </w:p>
        </w:tc>
        <w:tc>
          <w:tcPr>
            <w:tcW w:type="dxa" w:w="166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9,987</w:t>
            </w:r>
          </w:p>
        </w:tc>
        <w:tc>
          <w:tcPr>
            <w:tcW w:type="dxa" w:w="175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$1.57M</w:t>
            </w:r>
          </w:p>
        </w:tc>
        <w:tc>
          <w:tcPr>
            <w:tcW w:type="dxa" w:w="277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2.5%</w:t>
            </w:r>
          </w:p>
        </w:tc>
      </w:tr>
      <w:tr>
        <w:trPr>
          <w:cantSplit/>
        </w:trPr>
        <w:tc>
          <w:tcPr>
            <w:tcW w:type="dxa" w:w="283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COB – Commercial Not Known</w:t>
            </w:r>
          </w:p>
        </w:tc>
        <w:tc>
          <w:tcPr>
            <w:tcW w:type="dxa" w:w="166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8,733</w:t>
            </w:r>
          </w:p>
        </w:tc>
        <w:tc>
          <w:tcPr>
            <w:tcW w:type="dxa" w:w="175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$1.48M</w:t>
            </w:r>
          </w:p>
        </w:tc>
        <w:tc>
          <w:tcPr>
            <w:tcW w:type="dxa" w:w="277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48.5%</w:t>
            </w:r>
          </w:p>
        </w:tc>
      </w:tr>
      <w:tr>
        <w:trPr>
          <w:cantSplit/>
        </w:trPr>
        <w:tc>
          <w:tcPr>
            <w:tcW w:type="dxa" w:w="283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Provider Billing Error</w:t>
            </w:r>
          </w:p>
        </w:tc>
        <w:tc>
          <w:tcPr>
            <w:tcW w:type="dxa" w:w="166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2,858</w:t>
            </w:r>
          </w:p>
        </w:tc>
        <w:tc>
          <w:tcPr>
            <w:tcW w:type="dxa" w:w="175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$0.94M</w:t>
            </w:r>
          </w:p>
        </w:tc>
        <w:tc>
          <w:tcPr>
            <w:tcW w:type="dxa" w:w="277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21.5%</w:t>
            </w:r>
          </w:p>
        </w:tc>
      </w:tr>
      <w:tr>
        <w:trPr>
          <w:cantSplit/>
        </w:trPr>
        <w:tc>
          <w:tcPr>
            <w:tcW w:type="dxa" w:w="283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Eligibility</w:t>
            </w:r>
          </w:p>
        </w:tc>
        <w:tc>
          <w:tcPr>
            <w:tcW w:type="dxa" w:w="166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1,459</w:t>
            </w:r>
          </w:p>
        </w:tc>
        <w:tc>
          <w:tcPr>
            <w:tcW w:type="dxa" w:w="175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$0.24M</w:t>
            </w:r>
          </w:p>
        </w:tc>
        <w:tc>
          <w:tcPr>
            <w:tcW w:type="dxa" w:w="277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29.7%</w:t>
            </w:r>
          </w:p>
        </w:tc>
      </w:tr>
      <w:tr>
        <w:trPr>
          <w:cantSplit/>
        </w:trPr>
        <w:tc>
          <w:tcPr>
            <w:tcW w:type="dxa" w:w="283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Contract – Set-Up</w:t>
            </w:r>
          </w:p>
        </w:tc>
        <w:tc>
          <w:tcPr>
            <w:tcW w:type="dxa" w:w="166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1,215</w:t>
            </w:r>
          </w:p>
        </w:tc>
        <w:tc>
          <w:tcPr>
            <w:tcW w:type="dxa" w:w="175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$0.18M</w:t>
            </w:r>
          </w:p>
        </w:tc>
        <w:tc>
          <w:tcPr>
            <w:tcW w:type="dxa" w:w="277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3.9%</w:t>
            </w:r>
          </w:p>
        </w:tc>
      </w:tr>
      <w:tr>
        <w:trPr>
          <w:cantSplit/>
        </w:trPr>
        <w:tc>
          <w:tcPr>
            <w:tcW w:type="dxa" w:w="283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External Vendor – Subro</w:t>
            </w:r>
          </w:p>
        </w:tc>
        <w:tc>
          <w:tcPr>
            <w:tcW w:type="dxa" w:w="166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1,150</w:t>
            </w:r>
          </w:p>
        </w:tc>
        <w:tc>
          <w:tcPr>
            <w:tcW w:type="dxa" w:w="175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$0.17M</w:t>
            </w:r>
          </w:p>
        </w:tc>
        <w:tc>
          <w:tcPr>
            <w:tcW w:type="dxa" w:w="277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100%</w:t>
            </w:r>
          </w:p>
        </w:tc>
      </w:tr>
      <w:tr>
        <w:trPr>
          <w:cantSplit/>
        </w:trPr>
        <w:tc>
          <w:tcPr>
            <w:tcW w:type="dxa" w:w="283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COB – Ident Commercial Cov</w:t>
            </w:r>
          </w:p>
        </w:tc>
        <w:tc>
          <w:tcPr>
            <w:tcW w:type="dxa" w:w="166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834</w:t>
            </w:r>
          </w:p>
        </w:tc>
        <w:tc>
          <w:tcPr>
            <w:tcW w:type="dxa" w:w="175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$0.13M</w:t>
            </w:r>
          </w:p>
        </w:tc>
        <w:tc>
          <w:tcPr>
            <w:tcW w:type="dxa" w:w="277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41.2%</w:t>
            </w:r>
          </w:p>
        </w:tc>
      </w:tr>
      <w:tr>
        <w:trPr>
          <w:cantSplit/>
        </w:trPr>
        <w:tc>
          <w:tcPr>
            <w:tcW w:type="dxa" w:w="283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Policy – Auth/CXT</w:t>
            </w:r>
          </w:p>
        </w:tc>
        <w:tc>
          <w:tcPr>
            <w:tcW w:type="dxa" w:w="166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656</w:t>
            </w:r>
          </w:p>
        </w:tc>
        <w:tc>
          <w:tcPr>
            <w:tcW w:type="dxa" w:w="175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$0.32M</w:t>
            </w:r>
          </w:p>
        </w:tc>
        <w:tc>
          <w:tcPr>
            <w:tcW w:type="dxa" w:w="277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19.2%</w:t>
            </w:r>
          </w:p>
        </w:tc>
      </w:tr>
    </w:tbl>
    <w:p>
      <w:pPr>
        <w:spacing w:after="120"/>
      </w:pPr>
    </w:p>
    <w:p>
      <w:pPr>
        <w:spacing w:after="120" w:line="276"/>
      </w:pPr>
      <w:r>
        <w:rPr>
          <w:rFonts w:ascii="Calibri" w:cs="Calibri" w:eastAsia="Calibri" w:hAnsi="Calibri"/>
          <w:b/>
          <w:bCs/>
          <w:i w:val="false"/>
          <w:iCs w:val="false"/>
          <w:color w:val="FFFFFF"/>
          <w:sz w:val="18"/>
          <w:szCs w:val="18"/>
          <w:shd w:fill="5B7FA6" w:color="auto" w:val="clear"/>
        </w:rPr>
        <w:t xml:space="preserve">Interpretation</w:t>
      </w:r>
      <w:r>
        <w:rPr>
          <w:rFonts w:ascii="Calibri" w:cs="Calibri" w:eastAsia="Calibri" w:hAnsi="Calibri"/>
          <w:i w:val="false"/>
          <w:iCs w:val="false"/>
          <w:color w:val="262626"/>
          <w:sz w:val="22"/>
          <w:szCs w:val="22"/>
        </w:rPr>
        <w:t xml:space="preserve">  "Other" is 47% of all records and 59% of Internal's dollars, so the category field explains little of Internal's work. The reason field is more useful.</w:t>
      </w:r>
    </w:p>
    <w:p>
      <w:pPr>
        <w:pStyle w:val="Heading2"/>
        <w:keepNext/>
        <w:spacing w:after="80" w:before="200"/>
      </w:pPr>
      <w:r>
        <w:rPr>
          <w:rFonts w:ascii="Calibri" w:cs="Calibri" w:eastAsia="Calibri" w:hAnsi="Calibri"/>
          <w:b/>
          <w:bCs/>
          <w:color w:val="1F3864"/>
          <w:sz w:val="25"/>
          <w:szCs w:val="25"/>
        </w:rPr>
        <w:t xml:space="preserve">Status, setting, provider and state</w:t>
      </w:r>
    </w:p>
    <w:p>
      <w:pPr>
        <w:pStyle w:val="ListParagraph"/>
        <w:numPr>
          <w:ilvl w:val="0"/>
          <w:numId w:val="3"/>
        </w:numPr>
        <w:spacing w:after="80" w:line="276"/>
      </w:pPr>
      <w:r>
        <w:rPr>
          <w:rFonts w:ascii="Calibri" w:cs="Calibri" w:eastAsia="Calibri" w:hAnsi="Calibri"/>
          <w:b/>
          <w:bCs/>
          <w:color w:val="262626"/>
          <w:sz w:val="22"/>
          <w:szCs w:val="22"/>
        </w:rPr>
        <w:t xml:space="preserve">Status:</w:t>
      </w:r>
      <w:r>
        <w:rPr>
          <w:rFonts w:ascii="Calibri" w:cs="Calibri" w:eastAsia="Calibri" w:hAnsi="Calibri"/>
          <w:color w:val="262626"/>
          <w:sz w:val="22"/>
          <w:szCs w:val="22"/>
        </w:rPr>
        <w:t xml:space="preserve"> Recovered 69,065 records; Awaiting Recovery 3,621 ($1.08M); Closed 2,431 ($0.12M); Pended 958 ($0.31M).</w:t>
      </w:r>
    </w:p>
    <w:p>
      <w:pPr>
        <w:pStyle w:val="ListParagraph"/>
        <w:numPr>
          <w:ilvl w:val="0"/>
          <w:numId w:val="3"/>
        </w:numPr>
        <w:spacing w:after="80" w:line="276"/>
      </w:pPr>
      <w:r>
        <w:rPr>
          <w:rFonts w:ascii="Calibri" w:cs="Calibri" w:eastAsia="Calibri" w:hAnsi="Calibri"/>
          <w:b/>
          <w:bCs/>
          <w:color w:val="262626"/>
          <w:sz w:val="22"/>
          <w:szCs w:val="22"/>
        </w:rPr>
        <w:t xml:space="preserve">Claim type:</w:t>
      </w:r>
      <w:r>
        <w:rPr>
          <w:rFonts w:ascii="Calibri" w:cs="Calibri" w:eastAsia="Calibri" w:hAnsi="Calibri"/>
          <w:color w:val="262626"/>
          <w:sz w:val="22"/>
          <w:szCs w:val="22"/>
        </w:rPr>
        <w:t xml:space="preserve"> Professional 71,831 records ($8.90M); Facility 4,244 records ($4.27M). Facility is 5.6% of records but 32% of dollars.</w:t>
      </w:r>
    </w:p>
    <w:p>
      <w:pPr>
        <w:pStyle w:val="ListParagraph"/>
        <w:numPr>
          <w:ilvl w:val="0"/>
          <w:numId w:val="3"/>
        </w:numPr>
        <w:spacing w:after="80" w:line="276"/>
      </w:pPr>
      <w:r>
        <w:rPr>
          <w:rFonts w:ascii="Calibri" w:cs="Calibri" w:eastAsia="Calibri" w:hAnsi="Calibri"/>
          <w:b/>
          <w:bCs/>
          <w:color w:val="262626"/>
          <w:sz w:val="22"/>
          <w:szCs w:val="22"/>
        </w:rPr>
        <w:t xml:space="preserve">Place of service:</w:t>
      </w:r>
      <w:r>
        <w:rPr>
          <w:rFonts w:ascii="Calibri" w:cs="Calibri" w:eastAsia="Calibri" w:hAnsi="Calibri"/>
          <w:color w:val="262626"/>
          <w:sz w:val="22"/>
          <w:szCs w:val="22"/>
        </w:rPr>
        <w:t xml:space="preserve"> telehealth not in the home (02) 32,043; office (11) 21,334; telehealth in the home (10) 17,384; on-campus outpatient hospital (22) 3,957. Inpatient, ER, residential and partial hospitalization together: 788.</w:t>
      </w:r>
    </w:p>
    <w:p>
      <w:pPr>
        <w:pStyle w:val="ListParagraph"/>
        <w:numPr>
          <w:ilvl w:val="0"/>
          <w:numId w:val="3"/>
        </w:numPr>
        <w:spacing w:after="80" w:line="276"/>
      </w:pPr>
      <w:r>
        <w:rPr>
          <w:rFonts w:ascii="Calibri" w:cs="Calibri" w:eastAsia="Calibri" w:hAnsi="Calibri"/>
          <w:b/>
          <w:bCs/>
          <w:color w:val="262626"/>
          <w:sz w:val="22"/>
          <w:szCs w:val="22"/>
        </w:rPr>
        <w:t xml:space="preserve">Provider type:</w:t>
      </w:r>
      <w:r>
        <w:rPr>
          <w:rFonts w:ascii="Calibri" w:cs="Calibri" w:eastAsia="Calibri" w:hAnsi="Calibri"/>
          <w:color w:val="262626"/>
          <w:sz w:val="22"/>
          <w:szCs w:val="22"/>
        </w:rPr>
        <w:t xml:space="preserve"> BHG 14,539; CP 13,005; PH 11,886; LPC 9,948; SW 9,479; PN 5,016; MT 3,364; NP 2,332; HO 1,737.</w:t>
      </w:r>
    </w:p>
    <w:p>
      <w:pPr>
        <w:pStyle w:val="ListParagraph"/>
        <w:numPr>
          <w:ilvl w:val="0"/>
          <w:numId w:val="3"/>
        </w:numPr>
        <w:spacing w:after="80" w:line="276"/>
      </w:pPr>
      <w:r>
        <w:rPr>
          <w:rFonts w:ascii="Calibri" w:cs="Calibri" w:eastAsia="Calibri" w:hAnsi="Calibri"/>
          <w:b/>
          <w:bCs/>
          <w:color w:val="262626"/>
          <w:sz w:val="22"/>
          <w:szCs w:val="22"/>
        </w:rPr>
        <w:t xml:space="preserve">Member state:</w:t>
      </w:r>
      <w:r>
        <w:rPr>
          <w:rFonts w:ascii="Calibri" w:cs="Calibri" w:eastAsia="Calibri" w:hAnsi="Calibri"/>
          <w:color w:val="262626"/>
          <w:sz w:val="22"/>
          <w:szCs w:val="22"/>
        </w:rPr>
        <w:t xml:space="preserve"> NY 14,368; CA 10,613; FL 5,456; NJ 4,753; TX 4,376; MD 4,103.</w:t>
      </w:r>
    </w:p>
    <w:p>
      <w:pPr>
        <w:pStyle w:val="Heading1"/>
        <w:pageBreakBefore/>
        <w:pBdr>
          <w:bottom w:val="single" w:color="2E75B6" w:sz="8" w:space="2"/>
        </w:pBdr>
        <w:spacing w:after="120" w:before="240"/>
      </w:pPr>
      <w:r>
        <w:rPr>
          <w:rFonts w:ascii="Calibri" w:cs="Calibri" w:eastAsia="Calibri" w:hAnsi="Calibri"/>
          <w:b/>
          <w:bCs/>
          <w:color w:val="2E75B6"/>
          <w:sz w:val="32"/>
          <w:szCs w:val="32"/>
        </w:rPr>
        <w:t xml:space="preserve">5. Bivariate and multivariate analysis</w:t>
      </w:r>
    </w:p>
    <w:p>
      <w:pPr>
        <w:spacing w:after="120" w:line="276"/>
      </w:pPr>
      <w:r>
        <w:rPr>
          <w:rFonts w:ascii="Calibri" w:cs="Calibri" w:eastAsia="Calibri" w:hAnsi="Calibri"/>
          <w:i w:val="false"/>
          <w:iCs w:val="false"/>
          <w:color w:val="262626"/>
          <w:sz w:val="22"/>
          <w:szCs w:val="22"/>
        </w:rPr>
        <w:t xml:space="preserve">Most of this section compares the External share of overpayment records in each group with the 11.8% overall share. A share above 17.7% (1.5 times the average) is treated as External-heavy.</w:t>
      </w:r>
    </w:p>
    <w:p>
      <w:pPr>
        <w:pStyle w:val="Heading2"/>
        <w:keepNext/>
        <w:spacing w:after="80" w:before="200"/>
      </w:pPr>
      <w:r>
        <w:rPr>
          <w:rFonts w:ascii="Calibri" w:cs="Calibri" w:eastAsia="Calibri" w:hAnsi="Calibri"/>
          <w:b/>
          <w:bCs/>
          <w:color w:val="1F3864"/>
          <w:sz w:val="25"/>
          <w:szCs w:val="25"/>
        </w:rPr>
        <w:t xml:space="preserve">Claim complexity</w:t>
      </w:r>
    </w:p>
    <w:p>
      <w:pPr>
        <w:keepNext/>
        <w:spacing w:after="40" w:before="120"/>
        <w:jc w:val="center"/>
      </w:pPr>
      <w:r>
        <w:drawing>
          <wp:inline distT="0" distB="0" distL="0" distR="0">
            <wp:extent cx="5715000" cy="1981200"/>
            <wp:effectExtent t="0" r="0" b="0" l="0"/>
            <wp:docPr id="1" name="C3_claim_complexity.png" descr="Source: Cell 7. External share by billed amount and by number of lines." title="Source: Cell 7. External share by billed amount and by number of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812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Source: Cell 7. External share by billed amount and by number of lines.</w:t>
      </w:r>
    </w:p>
    <w:p>
      <w:pPr>
        <w:spacing w:after="120" w:line="276"/>
      </w:pPr>
      <w:r>
        <w:rPr>
          <w:rFonts w:ascii="Calibri" w:cs="Calibri" w:eastAsia="Calibri" w:hAnsi="Calibri"/>
          <w:b/>
          <w:bCs/>
          <w:i w:val="false"/>
          <w:iCs w:val="false"/>
          <w:color w:val="FFFFFF"/>
          <w:sz w:val="18"/>
          <w:szCs w:val="18"/>
          <w:shd w:fill="2E75B6" w:color="auto" w:val="clear"/>
        </w:rPr>
        <w:t xml:space="preserve">Observation</w:t>
      </w:r>
      <w:r>
        <w:rPr>
          <w:rFonts w:ascii="Calibri" w:cs="Calibri" w:eastAsia="Calibri" w:hAnsi="Calibri"/>
          <w:i w:val="false"/>
          <w:iCs w:val="false"/>
          <w:color w:val="262626"/>
          <w:sz w:val="22"/>
          <w:szCs w:val="22"/>
        </w:rPr>
        <w:t xml:space="preserve">  The pattern is U-shaped by bill size: External is above average on very small bills (17.7% under $200), below on the typical $200–500 visit (8.9%), and dominant on large bills (45–62%). </w:t>
      </w:r>
      <w:r>
        <w:rPr>
          <w:rFonts w:ascii="Calibri" w:cs="Calibri" w:eastAsia="Calibri" w:hAnsi="Calibri"/>
          <w:b/>
          <w:bCs/>
          <w:i w:val="false"/>
          <w:iCs w:val="false"/>
          <w:color w:val="FFFFFF"/>
          <w:sz w:val="18"/>
          <w:szCs w:val="18"/>
          <w:shd w:fill="5B7FA6" w:color="auto" w:val="clear"/>
        </w:rPr>
        <w:t xml:space="preserve">Interpretation</w:t>
      </w:r>
      <w:r>
        <w:rPr>
          <w:rFonts w:ascii="Calibri" w:cs="Calibri" w:eastAsia="Calibri" w:hAnsi="Calibri"/>
          <w:i w:val="false"/>
          <w:iCs w:val="false"/>
          <w:color w:val="262626"/>
          <w:sz w:val="22"/>
          <w:szCs w:val="22"/>
        </w:rPr>
        <w:t xml:space="preserve">  Small bills are likely COB and eligibility cases; large bills are facility stays.</w:t>
      </w:r>
    </w:p>
    <w:p>
      <w:pPr>
        <w:pStyle w:val="Heading2"/>
        <w:keepNext/>
        <w:spacing w:after="80" w:before="200"/>
      </w:pPr>
      <w:r>
        <w:rPr>
          <w:rFonts w:ascii="Calibri" w:cs="Calibri" w:eastAsia="Calibri" w:hAnsi="Calibri"/>
          <w:b/>
          <w:bCs/>
          <w:color w:val="1F3864"/>
          <w:sz w:val="25"/>
          <w:szCs w:val="25"/>
        </w:rPr>
        <w:t xml:space="preserve">Setting</w:t>
      </w:r>
    </w:p>
    <w:p>
      <w:pPr>
        <w:keepNext/>
        <w:spacing w:after="40" w:before="120"/>
        <w:jc w:val="center"/>
      </w:pPr>
      <w:r>
        <w:drawing>
          <wp:inline distT="0" distB="0" distL="0" distR="0">
            <wp:extent cx="5715000" cy="2590800"/>
            <wp:effectExtent t="0" r="0" b="0" l="0"/>
            <wp:docPr id="1" name="C4_pos.png" descr="Source: Cells 3 and 7. External share by place of service; record counts in brackets." title="Source: Cells 3 and 7. External share by place of service; record counts in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Source: Cells 3 and 7. External share by place of service; record counts in brackets.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12"/>
        <w:gridCol w:w="1454"/>
        <w:gridCol w:w="1813"/>
        <w:gridCol w:w="1532"/>
        <w:gridCol w:w="2115"/>
      </w:tblGrid>
      <w:tr>
        <w:trPr>
          <w:tblHeader/>
        </w:trPr>
        <w:tc>
          <w:tcPr>
            <w:tcW w:type="dxa" w:w="2112"/>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Setting group</w:t>
            </w:r>
          </w:p>
        </w:tc>
        <w:tc>
          <w:tcPr>
            <w:tcW w:type="dxa" w:w="1454"/>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Records</w:t>
            </w:r>
          </w:p>
        </w:tc>
        <w:tc>
          <w:tcPr>
            <w:tcW w:type="dxa" w:w="1813"/>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External share</w:t>
            </w:r>
          </w:p>
        </w:tc>
        <w:tc>
          <w:tcPr>
            <w:tcW w:type="dxa" w:w="1532"/>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Overpaid $</w:t>
            </w:r>
          </w:p>
        </w:tc>
        <w:tc>
          <w:tcPr>
            <w:tcW w:type="dxa" w:w="2115"/>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External share of $</w:t>
            </w:r>
          </w:p>
        </w:tc>
      </w:tr>
      <w:tr>
        <w:trPr>
          <w:cantSplit/>
        </w:trPr>
        <w:tc>
          <w:tcPr>
            <w:tcW w:type="dxa" w:w="211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Facility claims</w:t>
            </w:r>
          </w:p>
        </w:tc>
        <w:tc>
          <w:tcPr>
            <w:tcW w:type="dxa" w:w="145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4,244</w:t>
            </w:r>
          </w:p>
        </w:tc>
        <w:tc>
          <w:tcPr>
            <w:tcW w:type="dxa" w:w="1813"/>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28.5%</w:t>
            </w:r>
          </w:p>
        </w:tc>
        <w:tc>
          <w:tcPr>
            <w:tcW w:type="dxa" w:w="153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$4.27M</w:t>
            </w:r>
          </w:p>
        </w:tc>
        <w:tc>
          <w:tcPr>
            <w:tcW w:type="dxa" w:w="211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28.2%</w:t>
            </w:r>
          </w:p>
        </w:tc>
      </w:tr>
      <w:tr>
        <w:trPr>
          <w:cantSplit/>
        </w:trPr>
        <w:tc>
          <w:tcPr>
            <w:tcW w:type="dxa" w:w="211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Professional claims</w:t>
            </w:r>
          </w:p>
        </w:tc>
        <w:tc>
          <w:tcPr>
            <w:tcW w:type="dxa" w:w="145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71,831</w:t>
            </w:r>
          </w:p>
        </w:tc>
        <w:tc>
          <w:tcPr>
            <w:tcW w:type="dxa" w:w="1813"/>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10.9%</w:t>
            </w:r>
          </w:p>
        </w:tc>
        <w:tc>
          <w:tcPr>
            <w:tcW w:type="dxa" w:w="153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$8.90M</w:t>
            </w:r>
          </w:p>
        </w:tc>
        <w:tc>
          <w:tcPr>
            <w:tcW w:type="dxa" w:w="211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12.5%</w:t>
            </w:r>
          </w:p>
        </w:tc>
      </w:tr>
    </w:tbl>
    <w:p>
      <w:pPr>
        <w:spacing w:after="120"/>
      </w:pPr>
    </w:p>
    <w:p>
      <w:pPr>
        <w:spacing w:after="120" w:line="276"/>
      </w:pPr>
      <w:r>
        <w:rPr>
          <w:rFonts w:ascii="Calibri" w:cs="Calibri" w:eastAsia="Calibri" w:hAnsi="Calibri"/>
          <w:b/>
          <w:bCs/>
          <w:i w:val="false"/>
          <w:iCs w:val="false"/>
          <w:color w:val="FFFFFF"/>
          <w:sz w:val="18"/>
          <w:szCs w:val="18"/>
          <w:shd w:fill="2E75B6" w:color="auto" w:val="clear"/>
        </w:rPr>
        <w:t xml:space="preserve">Observation</w:t>
      </w:r>
      <w:r>
        <w:rPr>
          <w:rFonts w:ascii="Calibri" w:cs="Calibri" w:eastAsia="Calibri" w:hAnsi="Calibri"/>
          <w:i w:val="false"/>
          <w:iCs w:val="false"/>
          <w:color w:val="262626"/>
          <w:sz w:val="22"/>
          <w:szCs w:val="22"/>
        </w:rPr>
        <w:t xml:space="preserve">  52% of External's dollars come from facility claims against 28% of Internal's. Within each setting the average External and Internal overpayment is similar (for example office $177 vs $158, inpatient $1,489 vs $1,828). </w:t>
      </w:r>
      <w:r>
        <w:rPr>
          <w:rFonts w:ascii="Calibri" w:cs="Calibri" w:eastAsia="Calibri" w:hAnsi="Calibri"/>
          <w:b/>
          <w:bCs/>
          <w:i w:val="false"/>
          <w:iCs w:val="false"/>
          <w:color w:val="FFFFFF"/>
          <w:sz w:val="18"/>
          <w:szCs w:val="18"/>
          <w:shd w:fill="5B7FA6" w:color="auto" w:val="clear"/>
        </w:rPr>
        <w:t xml:space="preserve">Interpretation</w:t>
      </w:r>
      <w:r>
        <w:rPr>
          <w:rFonts w:ascii="Calibri" w:cs="Calibri" w:eastAsia="Calibri" w:hAnsi="Calibri"/>
          <w:i w:val="false"/>
          <w:iCs w:val="false"/>
          <w:color w:val="262626"/>
          <w:sz w:val="22"/>
          <w:szCs w:val="22"/>
        </w:rPr>
        <w:t xml:space="preserve">  External's higher average is a mix effect: it works more expensive claim types rather than finding bigger errors on the same claim.</w:t>
      </w:r>
    </w:p>
    <w:p>
      <w:pPr>
        <w:spacing w:after="120" w:line="276"/>
      </w:pPr>
      <w:r>
        <w:rPr>
          <w:rFonts w:ascii="Calibri" w:cs="Calibri" w:eastAsia="Calibri" w:hAnsi="Calibri"/>
          <w:b/>
          <w:bCs/>
          <w:i w:val="false"/>
          <w:iCs w:val="false"/>
          <w:color w:val="FFFFFF"/>
          <w:sz w:val="18"/>
          <w:szCs w:val="18"/>
          <w:shd w:fill="2E75B6" w:color="auto" w:val="clear"/>
        </w:rPr>
        <w:t xml:space="preserve">Observation</w:t>
      </w:r>
      <w:r>
        <w:rPr>
          <w:rFonts w:ascii="Calibri" w:cs="Calibri" w:eastAsia="Calibri" w:hAnsi="Calibri"/>
          <w:i w:val="false"/>
          <w:iCs w:val="false"/>
          <w:color w:val="262626"/>
          <w:sz w:val="22"/>
          <w:szCs w:val="22"/>
        </w:rPr>
        <w:t xml:space="preserve">  Telehealth modifiers sit below average: GT 8.9% and 95 11.0% External, against 16.9% where no modifier is recorded.</w:t>
      </w:r>
    </w:p>
    <w:p>
      <w:pPr>
        <w:pStyle w:val="Heading2"/>
        <w:keepNext/>
        <w:spacing w:after="80" w:before="200"/>
      </w:pPr>
      <w:r>
        <w:rPr>
          <w:rFonts w:ascii="Calibri" w:cs="Calibri" w:eastAsia="Calibri" w:hAnsi="Calibri"/>
          <w:b/>
          <w:bCs/>
          <w:color w:val="1F3864"/>
          <w:sz w:val="25"/>
          <w:szCs w:val="25"/>
        </w:rPr>
        <w:t xml:space="preserve">Provider, state and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534"/>
        <w:gridCol w:w="1914"/>
        <w:gridCol w:w="2509"/>
      </w:tblGrid>
      <w:tr>
        <w:trPr>
          <w:tblHeader/>
        </w:trPr>
        <w:tc>
          <w:tcPr>
            <w:tcW w:type="dxa" w:w="3069"/>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Group</w:t>
            </w:r>
          </w:p>
        </w:tc>
        <w:tc>
          <w:tcPr>
            <w:tcW w:type="dxa" w:w="1534"/>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Records</w:t>
            </w:r>
          </w:p>
        </w:tc>
        <w:tc>
          <w:tcPr>
            <w:tcW w:type="dxa" w:w="1914"/>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External share</w:t>
            </w:r>
          </w:p>
        </w:tc>
        <w:tc>
          <w:tcPr>
            <w:tcW w:type="dxa" w:w="2509"/>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Excess External records*</w:t>
            </w:r>
          </w:p>
        </w:tc>
      </w:tr>
      <w:tr>
        <w:trPr>
          <w:cantSplit/>
        </w:trPr>
        <w:tc>
          <w:tcPr>
            <w:tcW w:type="dxa" w:w="306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Provider type SA (facility)</w:t>
            </w:r>
          </w:p>
        </w:tc>
        <w:tc>
          <w:tcPr>
            <w:tcW w:type="dxa" w:w="153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338</w:t>
            </w:r>
          </w:p>
        </w:tc>
        <w:tc>
          <w:tcPr>
            <w:tcW w:type="dxa" w:w="191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55.0%</w:t>
            </w:r>
          </w:p>
        </w:tc>
        <w:tc>
          <w:tcPr>
            <w:tcW w:type="dxa" w:w="250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+146</w:t>
            </w:r>
          </w:p>
        </w:tc>
      </w:tr>
      <w:tr>
        <w:trPr>
          <w:cantSplit/>
        </w:trPr>
        <w:tc>
          <w:tcPr>
            <w:tcW w:type="dxa" w:w="306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Provider type RTF</w:t>
            </w:r>
          </w:p>
        </w:tc>
        <w:tc>
          <w:tcPr>
            <w:tcW w:type="dxa" w:w="153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312</w:t>
            </w:r>
          </w:p>
        </w:tc>
        <w:tc>
          <w:tcPr>
            <w:tcW w:type="dxa" w:w="191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40.4%</w:t>
            </w:r>
          </w:p>
        </w:tc>
        <w:tc>
          <w:tcPr>
            <w:tcW w:type="dxa" w:w="250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+89</w:t>
            </w:r>
          </w:p>
        </w:tc>
      </w:tr>
      <w:tr>
        <w:trPr>
          <w:cantSplit/>
        </w:trPr>
        <w:tc>
          <w:tcPr>
            <w:tcW w:type="dxa" w:w="306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Provider type PD</w:t>
            </w:r>
          </w:p>
        </w:tc>
        <w:tc>
          <w:tcPr>
            <w:tcW w:type="dxa" w:w="153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353</w:t>
            </w:r>
          </w:p>
        </w:tc>
        <w:tc>
          <w:tcPr>
            <w:tcW w:type="dxa" w:w="191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32.9%</w:t>
            </w:r>
          </w:p>
        </w:tc>
        <w:tc>
          <w:tcPr>
            <w:tcW w:type="dxa" w:w="250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+74</w:t>
            </w:r>
          </w:p>
        </w:tc>
      </w:tr>
      <w:tr>
        <w:trPr>
          <w:cantSplit/>
        </w:trPr>
        <w:tc>
          <w:tcPr>
            <w:tcW w:type="dxa" w:w="306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Provider type PSH</w:t>
            </w:r>
          </w:p>
        </w:tc>
        <w:tc>
          <w:tcPr>
            <w:tcW w:type="dxa" w:w="153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421</w:t>
            </w:r>
          </w:p>
        </w:tc>
        <w:tc>
          <w:tcPr>
            <w:tcW w:type="dxa" w:w="191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29.5%</w:t>
            </w:r>
          </w:p>
        </w:tc>
        <w:tc>
          <w:tcPr>
            <w:tcW w:type="dxa" w:w="250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+74</w:t>
            </w:r>
          </w:p>
        </w:tc>
      </w:tr>
      <w:tr>
        <w:trPr>
          <w:cantSplit/>
        </w:trPr>
        <w:tc>
          <w:tcPr>
            <w:tcW w:type="dxa" w:w="306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Provider type HO</w:t>
            </w:r>
          </w:p>
        </w:tc>
        <w:tc>
          <w:tcPr>
            <w:tcW w:type="dxa" w:w="153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1,737</w:t>
            </w:r>
          </w:p>
        </w:tc>
        <w:tc>
          <w:tcPr>
            <w:tcW w:type="dxa" w:w="191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22.9%</w:t>
            </w:r>
          </w:p>
        </w:tc>
        <w:tc>
          <w:tcPr>
            <w:tcW w:type="dxa" w:w="250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+191</w:t>
            </w:r>
          </w:p>
        </w:tc>
      </w:tr>
      <w:tr>
        <w:trPr>
          <w:cantSplit/>
        </w:trPr>
        <w:tc>
          <w:tcPr>
            <w:tcW w:type="dxa" w:w="306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Provider type LPC</w:t>
            </w:r>
          </w:p>
        </w:tc>
        <w:tc>
          <w:tcPr>
            <w:tcW w:type="dxa" w:w="153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9,948</w:t>
            </w:r>
          </w:p>
        </w:tc>
        <w:tc>
          <w:tcPr>
            <w:tcW w:type="dxa" w:w="191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15.9%</w:t>
            </w:r>
          </w:p>
        </w:tc>
        <w:tc>
          <w:tcPr>
            <w:tcW w:type="dxa" w:w="250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+404</w:t>
            </w:r>
          </w:p>
        </w:tc>
      </w:tr>
      <w:tr>
        <w:trPr>
          <w:cantSplit/>
        </w:trPr>
        <w:tc>
          <w:tcPr>
            <w:tcW w:type="dxa" w:w="306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Provider type SW</w:t>
            </w:r>
          </w:p>
        </w:tc>
        <w:tc>
          <w:tcPr>
            <w:tcW w:type="dxa" w:w="153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9,479</w:t>
            </w:r>
          </w:p>
        </w:tc>
        <w:tc>
          <w:tcPr>
            <w:tcW w:type="dxa" w:w="191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15.7%</w:t>
            </w:r>
          </w:p>
        </w:tc>
        <w:tc>
          <w:tcPr>
            <w:tcW w:type="dxa" w:w="250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+364</w:t>
            </w:r>
          </w:p>
        </w:tc>
      </w:tr>
      <w:tr>
        <w:trPr>
          <w:cantSplit/>
        </w:trPr>
        <w:tc>
          <w:tcPr>
            <w:tcW w:type="dxa" w:w="306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Member state WI</w:t>
            </w:r>
          </w:p>
        </w:tc>
        <w:tc>
          <w:tcPr>
            <w:tcW w:type="dxa" w:w="153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224</w:t>
            </w:r>
          </w:p>
        </w:tc>
        <w:tc>
          <w:tcPr>
            <w:tcW w:type="dxa" w:w="191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38.8%</w:t>
            </w:r>
          </w:p>
        </w:tc>
        <w:tc>
          <w:tcPr>
            <w:tcW w:type="dxa" w:w="250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+60</w:t>
            </w:r>
          </w:p>
        </w:tc>
      </w:tr>
      <w:tr>
        <w:trPr>
          <w:cantSplit/>
        </w:trPr>
        <w:tc>
          <w:tcPr>
            <w:tcW w:type="dxa" w:w="306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Member state MN</w:t>
            </w:r>
          </w:p>
        </w:tc>
        <w:tc>
          <w:tcPr>
            <w:tcW w:type="dxa" w:w="153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608</w:t>
            </w:r>
          </w:p>
        </w:tc>
        <w:tc>
          <w:tcPr>
            <w:tcW w:type="dxa" w:w="191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22.4%</w:t>
            </w:r>
          </w:p>
        </w:tc>
        <w:tc>
          <w:tcPr>
            <w:tcW w:type="dxa" w:w="250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+64</w:t>
            </w:r>
          </w:p>
        </w:tc>
      </w:tr>
      <w:tr>
        <w:trPr>
          <w:cantSplit/>
        </w:trPr>
        <w:tc>
          <w:tcPr>
            <w:tcW w:type="dxa" w:w="306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Member state MA</w:t>
            </w:r>
          </w:p>
        </w:tc>
        <w:tc>
          <w:tcPr>
            <w:tcW w:type="dxa" w:w="153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2,067</w:t>
            </w:r>
          </w:p>
        </w:tc>
        <w:tc>
          <w:tcPr>
            <w:tcW w:type="dxa" w:w="191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19.8%</w:t>
            </w:r>
          </w:p>
        </w:tc>
        <w:tc>
          <w:tcPr>
            <w:tcW w:type="dxa" w:w="250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+164</w:t>
            </w:r>
          </w:p>
        </w:tc>
      </w:tr>
      <w:tr>
        <w:trPr>
          <w:cantSplit/>
        </w:trPr>
        <w:tc>
          <w:tcPr>
            <w:tcW w:type="dxa" w:w="306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Member state CA</w:t>
            </w:r>
          </w:p>
        </w:tc>
        <w:tc>
          <w:tcPr>
            <w:tcW w:type="dxa" w:w="153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10,613</w:t>
            </w:r>
          </w:p>
        </w:tc>
        <w:tc>
          <w:tcPr>
            <w:tcW w:type="dxa" w:w="191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15.4%</w:t>
            </w:r>
          </w:p>
        </w:tc>
        <w:tc>
          <w:tcPr>
            <w:tcW w:type="dxa" w:w="250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+375</w:t>
            </w:r>
          </w:p>
        </w:tc>
      </w:tr>
      <w:tr>
        <w:trPr>
          <w:cantSplit/>
        </w:trPr>
        <w:tc>
          <w:tcPr>
            <w:tcW w:type="dxa" w:w="306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Diagnosis F1020 (alcohol dependence)</w:t>
            </w:r>
          </w:p>
        </w:tc>
        <w:tc>
          <w:tcPr>
            <w:tcW w:type="dxa" w:w="153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970</w:t>
            </w:r>
          </w:p>
        </w:tc>
        <w:tc>
          <w:tcPr>
            <w:tcW w:type="dxa" w:w="191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29.9%</w:t>
            </w:r>
          </w:p>
        </w:tc>
        <w:tc>
          <w:tcPr>
            <w:tcW w:type="dxa" w:w="250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+175</w:t>
            </w:r>
          </w:p>
        </w:tc>
      </w:tr>
      <w:tr>
        <w:trPr>
          <w:cantSplit/>
        </w:trPr>
        <w:tc>
          <w:tcPr>
            <w:tcW w:type="dxa" w:w="306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Diagnosis F4310 (PTSD)</w:t>
            </w:r>
          </w:p>
        </w:tc>
        <w:tc>
          <w:tcPr>
            <w:tcW w:type="dxa" w:w="153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1,906</w:t>
            </w:r>
          </w:p>
        </w:tc>
        <w:tc>
          <w:tcPr>
            <w:tcW w:type="dxa" w:w="191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18.5%</w:t>
            </w:r>
          </w:p>
        </w:tc>
        <w:tc>
          <w:tcPr>
            <w:tcW w:type="dxa" w:w="250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+127</w:t>
            </w:r>
          </w:p>
        </w:tc>
      </w:tr>
      <w:tr>
        <w:trPr>
          <w:cantSplit/>
        </w:trPr>
        <w:tc>
          <w:tcPr>
            <w:tcW w:type="dxa" w:w="306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CPT 90791 (diagnostic evaluation)</w:t>
            </w:r>
          </w:p>
        </w:tc>
        <w:tc>
          <w:tcPr>
            <w:tcW w:type="dxa" w:w="153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3,104</w:t>
            </w:r>
          </w:p>
        </w:tc>
        <w:tc>
          <w:tcPr>
            <w:tcW w:type="dxa" w:w="191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19.0%</w:t>
            </w:r>
          </w:p>
        </w:tc>
        <w:tc>
          <w:tcPr>
            <w:tcW w:type="dxa" w:w="250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+223</w:t>
            </w:r>
          </w:p>
        </w:tc>
      </w:tr>
    </w:tbl>
    <w:p>
      <w:pPr>
        <w:spacing w:after="120"/>
      </w:pPr>
    </w:p>
    <w:p>
      <w:pPr>
        <w:spacing w:after="120" w:line="276"/>
      </w:pPr>
      <w:r>
        <w:rPr>
          <w:rFonts w:ascii="Calibri" w:cs="Calibri" w:eastAsia="Calibri" w:hAnsi="Calibri"/>
          <w:i/>
          <w:iCs/>
          <w:color w:val="595959"/>
          <w:sz w:val="18"/>
          <w:szCs w:val="18"/>
        </w:rPr>
        <w:t xml:space="preserve">* External records above what 11.8% would predict. This measures impact; the share measures strength.</w:t>
      </w:r>
    </w:p>
    <w:p>
      <w:pPr>
        <w:pStyle w:val="Heading2"/>
        <w:keepNext/>
        <w:spacing w:after="80" w:before="200"/>
      </w:pPr>
      <w:r>
        <w:rPr>
          <w:rFonts w:ascii="Calibri" w:cs="Calibri" w:eastAsia="Calibri" w:hAnsi="Calibri"/>
          <w:b/>
          <w:bCs/>
          <w:color w:val="1F3864"/>
          <w:sz w:val="25"/>
          <w:szCs w:val="25"/>
        </w:rPr>
        <w:t xml:space="preserve">Combinations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17"/>
        <w:gridCol w:w="1668"/>
        <w:gridCol w:w="2081"/>
        <w:gridCol w:w="1760"/>
      </w:tblGrid>
      <w:tr>
        <w:trPr>
          <w:tblHeader/>
        </w:trPr>
        <w:tc>
          <w:tcPr>
            <w:tcW w:type="dxa" w:w="3517"/>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Combination</w:t>
            </w:r>
          </w:p>
        </w:tc>
        <w:tc>
          <w:tcPr>
            <w:tcW w:type="dxa" w:w="1668"/>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Records</w:t>
            </w:r>
          </w:p>
        </w:tc>
        <w:tc>
          <w:tcPr>
            <w:tcW w:type="dxa" w:w="2081"/>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External share</w:t>
            </w:r>
          </w:p>
        </w:tc>
        <w:tc>
          <w:tcPr>
            <w:tcW w:type="dxa" w:w="1760"/>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External $</w:t>
            </w:r>
          </w:p>
        </w:tc>
      </w:tr>
      <w:tr>
        <w:trPr>
          <w:cantSplit/>
        </w:trPr>
        <w:tc>
          <w:tcPr>
            <w:tcW w:type="dxa" w:w="351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Diagnosis F1020 + provider SA + facility</w:t>
            </w:r>
          </w:p>
        </w:tc>
        <w:tc>
          <w:tcPr>
            <w:tcW w:type="dxa" w:w="166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200</w:t>
            </w:r>
          </w:p>
        </w:tc>
        <w:tc>
          <w:tcPr>
            <w:tcW w:type="dxa" w:w="208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63.0%</w:t>
            </w:r>
          </w:p>
        </w:tc>
        <w:tc>
          <w:tcPr>
            <w:tcW w:type="dxa" w:w="176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$132K</w:t>
            </w:r>
          </w:p>
        </w:tc>
      </w:tr>
      <w:tr>
        <w:trPr>
          <w:cantSplit/>
        </w:trPr>
        <w:tc>
          <w:tcPr>
            <w:tcW w:type="dxa" w:w="351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Facility claim + ER (POS 23)</w:t>
            </w:r>
          </w:p>
        </w:tc>
        <w:tc>
          <w:tcPr>
            <w:tcW w:type="dxa" w:w="166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143</w:t>
            </w:r>
          </w:p>
        </w:tc>
        <w:tc>
          <w:tcPr>
            <w:tcW w:type="dxa" w:w="2081"/>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58.0%</w:t>
            </w:r>
          </w:p>
        </w:tc>
        <w:tc>
          <w:tcPr>
            <w:tcW w:type="dxa" w:w="176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$140K</w:t>
            </w:r>
          </w:p>
        </w:tc>
      </w:tr>
      <w:tr>
        <w:trPr>
          <w:cantSplit/>
        </w:trPr>
        <w:tc>
          <w:tcPr>
            <w:tcW w:type="dxa" w:w="351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Provider SA + facility</w:t>
            </w:r>
          </w:p>
        </w:tc>
        <w:tc>
          <w:tcPr>
            <w:tcW w:type="dxa" w:w="166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336</w:t>
            </w:r>
          </w:p>
        </w:tc>
        <w:tc>
          <w:tcPr>
            <w:tcW w:type="dxa" w:w="208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55.4%</w:t>
            </w:r>
          </w:p>
        </w:tc>
        <w:tc>
          <w:tcPr>
            <w:tcW w:type="dxa" w:w="176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$199K</w:t>
            </w:r>
          </w:p>
        </w:tc>
      </w:tr>
      <w:tr>
        <w:trPr>
          <w:cantSplit/>
        </w:trPr>
        <w:tc>
          <w:tcPr>
            <w:tcW w:type="dxa" w:w="351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H0018 + facility</w:t>
            </w:r>
          </w:p>
        </w:tc>
        <w:tc>
          <w:tcPr>
            <w:tcW w:type="dxa" w:w="166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234</w:t>
            </w:r>
          </w:p>
        </w:tc>
        <w:tc>
          <w:tcPr>
            <w:tcW w:type="dxa" w:w="2081"/>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54.3%</w:t>
            </w:r>
          </w:p>
        </w:tc>
        <w:tc>
          <w:tcPr>
            <w:tcW w:type="dxa" w:w="176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$236K</w:t>
            </w:r>
          </w:p>
        </w:tc>
      </w:tr>
      <w:tr>
        <w:trPr>
          <w:cantSplit/>
        </w:trPr>
        <w:tc>
          <w:tcPr>
            <w:tcW w:type="dxa" w:w="351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Rev 128 + facility</w:t>
            </w:r>
          </w:p>
        </w:tc>
        <w:tc>
          <w:tcPr>
            <w:tcW w:type="dxa" w:w="166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268</w:t>
            </w:r>
          </w:p>
        </w:tc>
        <w:tc>
          <w:tcPr>
            <w:tcW w:type="dxa" w:w="208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52.6%</w:t>
            </w:r>
          </w:p>
        </w:tc>
        <w:tc>
          <w:tcPr>
            <w:tcW w:type="dxa" w:w="176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$184K</w:t>
            </w:r>
          </w:p>
        </w:tc>
      </w:tr>
      <w:tr>
        <w:trPr>
          <w:cantSplit/>
        </w:trPr>
        <w:tc>
          <w:tcPr>
            <w:tcW w:type="dxa" w:w="351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California + POS 22 + facility</w:t>
            </w:r>
          </w:p>
        </w:tc>
        <w:tc>
          <w:tcPr>
            <w:tcW w:type="dxa" w:w="166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361</w:t>
            </w:r>
          </w:p>
        </w:tc>
        <w:tc>
          <w:tcPr>
            <w:tcW w:type="dxa" w:w="2081"/>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44.3%</w:t>
            </w:r>
          </w:p>
        </w:tc>
        <w:tc>
          <w:tcPr>
            <w:tcW w:type="dxa" w:w="176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$204K</w:t>
            </w:r>
          </w:p>
        </w:tc>
      </w:tr>
      <w:tr>
        <w:trPr>
          <w:cantSplit/>
        </w:trPr>
        <w:tc>
          <w:tcPr>
            <w:tcW w:type="dxa" w:w="351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Rev 900 + facility</w:t>
            </w:r>
          </w:p>
        </w:tc>
        <w:tc>
          <w:tcPr>
            <w:tcW w:type="dxa" w:w="166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380</w:t>
            </w:r>
          </w:p>
        </w:tc>
        <w:tc>
          <w:tcPr>
            <w:tcW w:type="dxa" w:w="208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42.9%</w:t>
            </w:r>
          </w:p>
        </w:tc>
        <w:tc>
          <w:tcPr>
            <w:tcW w:type="dxa" w:w="176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$72K</w:t>
            </w:r>
          </w:p>
        </w:tc>
      </w:tr>
      <w:tr>
        <w:trPr>
          <w:cantSplit/>
        </w:trPr>
        <w:tc>
          <w:tcPr>
            <w:tcW w:type="dxa" w:w="351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Provider RTF + facility</w:t>
            </w:r>
          </w:p>
        </w:tc>
        <w:tc>
          <w:tcPr>
            <w:tcW w:type="dxa" w:w="166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312</w:t>
            </w:r>
          </w:p>
        </w:tc>
        <w:tc>
          <w:tcPr>
            <w:tcW w:type="dxa" w:w="2081"/>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40.4%</w:t>
            </w:r>
          </w:p>
        </w:tc>
        <w:tc>
          <w:tcPr>
            <w:tcW w:type="dxa" w:w="176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$159K</w:t>
            </w:r>
          </w:p>
        </w:tc>
      </w:tr>
      <w:tr>
        <w:trPr>
          <w:cantSplit/>
        </w:trPr>
        <w:tc>
          <w:tcPr>
            <w:tcW w:type="dxa" w:w="351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Diagnosis F1020 + facility</w:t>
            </w:r>
          </w:p>
        </w:tc>
        <w:tc>
          <w:tcPr>
            <w:tcW w:type="dxa" w:w="166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699</w:t>
            </w:r>
          </w:p>
        </w:tc>
        <w:tc>
          <w:tcPr>
            <w:tcW w:type="dxa" w:w="208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37.8%</w:t>
            </w:r>
          </w:p>
        </w:tc>
        <w:tc>
          <w:tcPr>
            <w:tcW w:type="dxa" w:w="176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$219K</w:t>
            </w:r>
          </w:p>
        </w:tc>
      </w:tr>
      <w:tr>
        <w:trPr>
          <w:cantSplit/>
        </w:trPr>
        <w:tc>
          <w:tcPr>
            <w:tcW w:type="dxa" w:w="351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CPT 90791 + telehealth home (POS 10)</w:t>
            </w:r>
          </w:p>
        </w:tc>
        <w:tc>
          <w:tcPr>
            <w:tcW w:type="dxa" w:w="166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818</w:t>
            </w:r>
          </w:p>
        </w:tc>
        <w:tc>
          <w:tcPr>
            <w:tcW w:type="dxa" w:w="2081"/>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34.8%</w:t>
            </w:r>
          </w:p>
        </w:tc>
        <w:tc>
          <w:tcPr>
            <w:tcW w:type="dxa" w:w="176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$36K</w:t>
            </w:r>
          </w:p>
        </w:tc>
      </w:tr>
      <w:tr>
        <w:trPr>
          <w:cantSplit/>
        </w:trPr>
        <w:tc>
          <w:tcPr>
            <w:tcW w:type="dxa" w:w="351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POS 22 + facility (largest by dollars)</w:t>
            </w:r>
          </w:p>
        </w:tc>
        <w:tc>
          <w:tcPr>
            <w:tcW w:type="dxa" w:w="166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3,567</w:t>
            </w:r>
          </w:p>
        </w:tc>
        <w:tc>
          <w:tcPr>
            <w:tcW w:type="dxa" w:w="208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25.3%</w:t>
            </w:r>
          </w:p>
        </w:tc>
        <w:tc>
          <w:tcPr>
            <w:tcW w:type="dxa" w:w="176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$659K</w:t>
            </w:r>
          </w:p>
        </w:tc>
      </w:tr>
      <w:tr>
        <w:trPr>
          <w:cantSplit/>
        </w:trPr>
        <w:tc>
          <w:tcPr>
            <w:tcW w:type="dxa" w:w="351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Provider HO + facility</w:t>
            </w:r>
          </w:p>
        </w:tc>
        <w:tc>
          <w:tcPr>
            <w:tcW w:type="dxa" w:w="166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1,734</w:t>
            </w:r>
          </w:p>
        </w:tc>
        <w:tc>
          <w:tcPr>
            <w:tcW w:type="dxa" w:w="2081"/>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22.8%</w:t>
            </w:r>
          </w:p>
        </w:tc>
        <w:tc>
          <w:tcPr>
            <w:tcW w:type="dxa" w:w="176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9"/>
                <w:szCs w:val="19"/>
              </w:rPr>
              <w:t xml:space="preserve">$444K</w:t>
            </w:r>
          </w:p>
        </w:tc>
      </w:tr>
    </w:tbl>
    <w:p>
      <w:pPr>
        <w:spacing w:after="120"/>
      </w:pPr>
    </w:p>
    <w:p>
      <w:pPr>
        <w:pStyle w:val="Heading2"/>
        <w:keepNext/>
        <w:spacing w:after="80" w:before="200"/>
      </w:pPr>
      <w:r>
        <w:rPr>
          <w:rFonts w:ascii="Calibri" w:cs="Calibri" w:eastAsia="Calibri" w:hAnsi="Calibri"/>
          <w:b/>
          <w:bCs/>
          <w:color w:val="1F3864"/>
          <w:sz w:val="25"/>
          <w:szCs w:val="25"/>
        </w:rPr>
        <w:t xml:space="preserve">Decision tree check</w:t>
      </w:r>
    </w:p>
    <w:p>
      <w:pPr>
        <w:spacing w:after="120" w:line="276"/>
      </w:pPr>
      <w:r>
        <w:rPr>
          <w:rFonts w:ascii="Calibri" w:cs="Calibri" w:eastAsia="Calibri" w:hAnsi="Calibri"/>
          <w:b/>
          <w:bCs/>
          <w:i w:val="false"/>
          <w:iCs w:val="false"/>
          <w:color w:val="FFFFFF"/>
          <w:sz w:val="18"/>
          <w:szCs w:val="18"/>
          <w:shd w:fill="2E75B6" w:color="auto" w:val="clear"/>
        </w:rPr>
        <w:t xml:space="preserve">Observation</w:t>
      </w:r>
      <w:r>
        <w:rPr>
          <w:rFonts w:ascii="Calibri" w:cs="Calibri" w:eastAsia="Calibri" w:hAnsi="Calibri"/>
          <w:i w:val="false"/>
          <w:iCs w:val="false"/>
          <w:color w:val="262626"/>
          <w:sz w:val="22"/>
          <w:szCs w:val="22"/>
        </w:rPr>
        <w:t xml:space="preserve">  A depth-5 tree on claim features only (reason and business area excluded) ranked TIN first (importance 0.43), then billed band (0.12), member state (0.11), claim type (0.09) and provider type (0.07). Revenue code scored 0. The most External-heavy leaf was facility claims outside NY with 11+ lines: 344 records, 65.4% External, $332K. Facility claims outside NY with fewer lines, excluding hospital (HO) providers, held 1,580 records at 40.3%.</w:t>
      </w:r>
    </w:p>
    <w:p>
      <w:pPr>
        <w:spacing w:after="120" w:line="276"/>
      </w:pPr>
      <w:r>
        <w:rPr>
          <w:rFonts w:ascii="Calibri" w:cs="Calibri" w:eastAsia="Calibri" w:hAnsi="Calibri"/>
          <w:b/>
          <w:bCs/>
          <w:i w:val="false"/>
          <w:iCs w:val="false"/>
          <w:color w:val="FFFFFF"/>
          <w:sz w:val="18"/>
          <w:szCs w:val="18"/>
          <w:shd w:fill="5B7FA6" w:color="auto" w:val="clear"/>
        </w:rPr>
        <w:t xml:space="preserve">Interpretation</w:t>
      </w:r>
      <w:r>
        <w:rPr>
          <w:rFonts w:ascii="Calibri" w:cs="Calibri" w:eastAsia="Calibri" w:hAnsi="Calibri"/>
          <w:i w:val="false"/>
          <w:iCs w:val="false"/>
          <w:color w:val="262626"/>
          <w:sz w:val="22"/>
          <w:szCs w:val="22"/>
        </w:rPr>
        <w:t xml:space="preserve">  TIN ranks first mainly because a few high-volume providers are almost entirely Internal, for example one leaf of 10,157 records with 0.2% External. The tree was fitted on all records with no hold-out, so it describes the data rather than predicting.</w:t>
      </w:r>
    </w:p>
    <w:p>
      <w:pPr>
        <w:pStyle w:val="Heading2"/>
        <w:keepNext/>
        <w:spacing w:after="80" w:before="200"/>
      </w:pPr>
      <w:r>
        <w:rPr>
          <w:rFonts w:ascii="Calibri" w:cs="Calibri" w:eastAsia="Calibri" w:hAnsi="Calibri"/>
          <w:b/>
          <w:bCs/>
          <w:color w:val="1F3864"/>
          <w:sz w:val="25"/>
          <w:szCs w:val="25"/>
        </w:rPr>
        <w:t xml:space="preserve">Timing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51"/>
        <w:gridCol w:w="1518"/>
        <w:gridCol w:w="1518"/>
        <w:gridCol w:w="1518"/>
        <w:gridCol w:w="1521"/>
      </w:tblGrid>
      <w:tr>
        <w:trPr>
          <w:tblHeader/>
        </w:trPr>
        <w:tc>
          <w:tcPr>
            <w:tcW w:type="dxa" w:w="2951"/>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Days from processing to validation</w:t>
            </w:r>
          </w:p>
        </w:tc>
        <w:tc>
          <w:tcPr>
            <w:tcW w:type="dxa" w:w="1518"/>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25th pct</w:t>
            </w:r>
          </w:p>
        </w:tc>
        <w:tc>
          <w:tcPr>
            <w:tcW w:type="dxa" w:w="1518"/>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Median</w:t>
            </w:r>
          </w:p>
        </w:tc>
        <w:tc>
          <w:tcPr>
            <w:tcW w:type="dxa" w:w="1518"/>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75th pct</w:t>
            </w:r>
          </w:p>
        </w:tc>
        <w:tc>
          <w:tcPr>
            <w:tcW w:type="dxa" w:w="1521"/>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90th pct</w:t>
            </w:r>
          </w:p>
        </w:tc>
      </w:tr>
      <w:tr>
        <w:trPr>
          <w:cantSplit/>
        </w:trPr>
        <w:tc>
          <w:tcPr>
            <w:tcW w:type="dxa" w:w="295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Internal</w:t>
            </w:r>
          </w:p>
        </w:tc>
        <w:tc>
          <w:tcPr>
            <w:tcW w:type="dxa" w:w="151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30</w:t>
            </w:r>
          </w:p>
        </w:tc>
        <w:tc>
          <w:tcPr>
            <w:tcW w:type="dxa" w:w="151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63</w:t>
            </w:r>
          </w:p>
        </w:tc>
        <w:tc>
          <w:tcPr>
            <w:tcW w:type="dxa" w:w="151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143</w:t>
            </w:r>
          </w:p>
        </w:tc>
        <w:tc>
          <w:tcPr>
            <w:tcW w:type="dxa" w:w="152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441</w:t>
            </w:r>
          </w:p>
        </w:tc>
      </w:tr>
      <w:tr>
        <w:trPr>
          <w:cantSplit/>
        </w:trPr>
        <w:tc>
          <w:tcPr>
            <w:tcW w:type="dxa" w:w="2951"/>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External</w:t>
            </w:r>
          </w:p>
        </w:tc>
        <w:tc>
          <w:tcPr>
            <w:tcW w:type="dxa" w:w="151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34</w:t>
            </w:r>
          </w:p>
        </w:tc>
        <w:tc>
          <w:tcPr>
            <w:tcW w:type="dxa" w:w="151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72</w:t>
            </w:r>
          </w:p>
        </w:tc>
        <w:tc>
          <w:tcPr>
            <w:tcW w:type="dxa" w:w="151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149</w:t>
            </w:r>
          </w:p>
        </w:tc>
        <w:tc>
          <w:tcPr>
            <w:tcW w:type="dxa" w:w="1521"/>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261</w:t>
            </w:r>
          </w:p>
        </w:tc>
      </w:tr>
    </w:tbl>
    <w:p>
      <w:pPr>
        <w:spacing w:after="120"/>
      </w:pPr>
    </w:p>
    <w:p>
      <w:pPr>
        <w:spacing w:after="120" w:line="276"/>
      </w:pPr>
      <w:r>
        <w:rPr>
          <w:rFonts w:ascii="Calibri" w:cs="Calibri" w:eastAsia="Calibri" w:hAnsi="Calibri"/>
          <w:b/>
          <w:bCs/>
          <w:i w:val="false"/>
          <w:iCs w:val="false"/>
          <w:color w:val="FFFFFF"/>
          <w:sz w:val="18"/>
          <w:szCs w:val="18"/>
          <w:shd w:fill="2E75B6" w:color="auto" w:val="clear"/>
        </w:rPr>
        <w:t xml:space="preserve">Observation</w:t>
      </w:r>
      <w:r>
        <w:rPr>
          <w:rFonts w:ascii="Calibri" w:cs="Calibri" w:eastAsia="Calibri" w:hAnsi="Calibri"/>
          <w:i w:val="false"/>
          <w:iCs w:val="false"/>
          <w:color w:val="262626"/>
          <w:sz w:val="22"/>
          <w:szCs w:val="22"/>
        </w:rPr>
        <w:t xml:space="preserve">  Both teams validate on a similar timeline. Internal has a longer tail, so it is not true that External always comes later.</w:t>
      </w:r>
    </w:p>
    <w:p>
      <w:pPr>
        <w:spacing w:after="120" w:line="276"/>
      </w:pPr>
      <w:r>
        <w:rPr>
          <w:rFonts w:ascii="Calibri" w:cs="Calibri" w:eastAsia="Calibri" w:hAnsi="Calibri"/>
          <w:i/>
          <w:iCs/>
          <w:color w:val="595959"/>
          <w:sz w:val="20"/>
          <w:szCs w:val="20"/>
        </w:rPr>
        <w:t xml:space="preserve">Every relationship in this section is an association. None shows that a claim feature causes an overpayment or causes Internal to miss one.</w:t>
      </w:r>
    </w:p>
    <w:p>
      <w:pPr>
        <w:pStyle w:val="Heading1"/>
        <w:pageBreakBefore/>
        <w:pBdr>
          <w:bottom w:val="single" w:color="2E75B6" w:sz="8" w:space="2"/>
        </w:pBdr>
        <w:spacing w:after="120" w:before="240"/>
      </w:pPr>
      <w:r>
        <w:rPr>
          <w:rFonts w:ascii="Calibri" w:cs="Calibri" w:eastAsia="Calibri" w:hAnsi="Calibri"/>
          <w:b/>
          <w:bCs/>
          <w:color w:val="2E75B6"/>
          <w:sz w:val="32"/>
          <w:szCs w:val="32"/>
        </w:rPr>
        <w:t xml:space="preserve">6. Overpayment-focused analysis</w:t>
      </w:r>
    </w:p>
    <w:p>
      <w:pPr>
        <w:pStyle w:val="Heading2"/>
        <w:keepNext/>
        <w:spacing w:after="80" w:before="200"/>
      </w:pPr>
      <w:r>
        <w:rPr>
          <w:rFonts w:ascii="Calibri" w:cs="Calibri" w:eastAsia="Calibri" w:hAnsi="Calibri"/>
          <w:b/>
          <w:bCs/>
          <w:color w:val="1F3864"/>
          <w:sz w:val="25"/>
          <w:szCs w:val="25"/>
        </w:rPr>
        <w:t xml:space="preserve">Overall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72"/>
        <w:gridCol w:w="3925"/>
        <w:gridCol w:w="2629"/>
      </w:tblGrid>
      <w:tr>
        <w:trPr>
          <w:tblHeader/>
        </w:trPr>
        <w:tc>
          <w:tcPr>
            <w:tcW w:type="dxa" w:w="2472"/>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Measure</w:t>
            </w:r>
          </w:p>
        </w:tc>
        <w:tc>
          <w:tcPr>
            <w:tcW w:type="dxa" w:w="3925"/>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Definition</w:t>
            </w:r>
          </w:p>
        </w:tc>
        <w:tc>
          <w:tcPr>
            <w:tcW w:type="dxa" w:w="2629"/>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Value</w:t>
            </w:r>
          </w:p>
        </w:tc>
      </w:tr>
      <w:tr>
        <w:trPr>
          <w:cantSplit/>
        </w:trPr>
        <w:tc>
          <w:tcPr>
            <w:tcW w:type="dxa" w:w="247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Claim overpayment rate</w:t>
            </w:r>
          </w:p>
        </w:tc>
        <w:tc>
          <w:tcPr>
            <w:tcW w:type="dxa" w:w="392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Overpaid claims ÷ claims processed</w:t>
            </w:r>
          </w:p>
        </w:tc>
        <w:tc>
          <w:tcPr>
            <w:tcW w:type="dxa" w:w="262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75,396 ÷ 5,008,274 = 1.51%</w:t>
            </w:r>
          </w:p>
        </w:tc>
      </w:tr>
      <w:tr>
        <w:trPr>
          <w:cantSplit/>
        </w:trPr>
        <w:tc>
          <w:tcPr>
            <w:tcW w:type="dxa" w:w="247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Leakage rate</w:t>
            </w:r>
          </w:p>
        </w:tc>
        <w:tc>
          <w:tcPr>
            <w:tcW w:type="dxa" w:w="392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Overpaid $ ÷ paid $</w:t>
            </w:r>
          </w:p>
        </w:tc>
        <w:tc>
          <w:tcPr>
            <w:tcW w:type="dxa" w:w="262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$13.17M ÷ $806.51M = 1.6%</w:t>
            </w:r>
          </w:p>
        </w:tc>
      </w:tr>
      <w:tr>
        <w:trPr>
          <w:cantSplit/>
        </w:trPr>
        <w:tc>
          <w:tcPr>
            <w:tcW w:type="dxa" w:w="247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Recovery rate (claims)</w:t>
            </w:r>
          </w:p>
        </w:tc>
        <w:tc>
          <w:tcPr>
            <w:tcW w:type="dxa" w:w="392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Claims whose largest record is Recovered ÷ overpaid claims</w:t>
            </w:r>
          </w:p>
        </w:tc>
        <w:tc>
          <w:tcPr>
            <w:tcW w:type="dxa" w:w="262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68,541 ÷ 75,396 = 91%</w:t>
            </w:r>
          </w:p>
        </w:tc>
      </w:tr>
      <w:tr>
        <w:trPr>
          <w:cantSplit/>
        </w:trPr>
        <w:tc>
          <w:tcPr>
            <w:tcW w:type="dxa" w:w="247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Recovery rate (dollars)</w:t>
            </w:r>
          </w:p>
        </w:tc>
        <w:tc>
          <w:tcPr>
            <w:tcW w:type="dxa" w:w="392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(Amount − remaining) ÷ amount</w:t>
            </w:r>
          </w:p>
        </w:tc>
        <w:tc>
          <w:tcPr>
            <w:tcW w:type="dxa" w:w="262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$11.83M ÷ $13.17M = 90%</w:t>
            </w:r>
          </w:p>
        </w:tc>
      </w:tr>
    </w:tbl>
    <w:p>
      <w:pPr>
        <w:spacing w:after="120"/>
      </w:pPr>
    </w:p>
    <w:p>
      <w:pPr>
        <w:pStyle w:val="Heading2"/>
        <w:keepNext/>
        <w:spacing w:after="80" w:before="200"/>
      </w:pPr>
      <w:r>
        <w:rPr>
          <w:rFonts w:ascii="Calibri" w:cs="Calibri" w:eastAsia="Calibri" w:hAnsi="Calibri"/>
          <w:b/>
          <w:bCs/>
          <w:color w:val="1F3864"/>
          <w:sz w:val="25"/>
          <w:szCs w:val="25"/>
        </w:rPr>
        <w:t xml:space="preserve">Trend</w:t>
      </w:r>
    </w:p>
    <w:p>
      <w:pPr>
        <w:keepNext/>
        <w:spacing w:after="40" w:before="120"/>
        <w:jc w:val="center"/>
      </w:pPr>
      <w:r>
        <w:drawing>
          <wp:inline distT="0" distB="0" distL="0" distR="0">
            <wp:extent cx="5715000" cy="3476625"/>
            <wp:effectExtent t="0" r="0" b="0" l="0"/>
            <wp:docPr id="1" name="C1_monthly_trend.png" descr="Source: Cells 3 and 4. Monthly overpayment rate and External share, by processing month." title="Source: Cells 3 and 4. Monthly overpayment rate and External share, by processing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766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Source: Cells 3 and 4. Monthly overpayment rate and External share, by processing month.</w:t>
      </w:r>
    </w:p>
    <w:p>
      <w:pPr>
        <w:spacing w:after="120" w:line="276"/>
      </w:pPr>
      <w:r>
        <w:rPr>
          <w:rFonts w:ascii="Calibri" w:cs="Calibri" w:eastAsia="Calibri" w:hAnsi="Calibri"/>
          <w:b/>
          <w:bCs/>
          <w:i w:val="false"/>
          <w:iCs w:val="false"/>
          <w:color w:val="FFFFFF"/>
          <w:sz w:val="18"/>
          <w:szCs w:val="18"/>
          <w:shd w:fill="2E75B6" w:color="auto" w:val="clear"/>
        </w:rPr>
        <w:t xml:space="preserve">Observation</w:t>
      </w:r>
      <w:r>
        <w:rPr>
          <w:rFonts w:ascii="Calibri" w:cs="Calibri" w:eastAsia="Calibri" w:hAnsi="Calibri"/>
          <w:i w:val="false"/>
          <w:iCs w:val="false"/>
          <w:color w:val="262626"/>
          <w:sz w:val="22"/>
          <w:szCs w:val="22"/>
        </w:rPr>
        <w:t xml:space="preserve">  The rate ran at about 2.0–2.3% in early 2025, spiked to 3.86% and 3.47% in July–August 2025, and settled near 1.0–1.5%. The spike is Internal: Internal-only claims jumped to 8,294 and 9,350 in those months, against 2,000–4,700 in other months, which pushed External's share down to 6%.</w:t>
      </w:r>
    </w:p>
    <w:p>
      <w:pPr>
        <w:spacing w:after="120" w:line="276"/>
      </w:pPr>
      <w:r>
        <w:rPr>
          <w:rFonts w:ascii="Calibri" w:cs="Calibri" w:eastAsia="Calibri" w:hAnsi="Calibri"/>
          <w:b/>
          <w:bCs/>
          <w:i w:val="false"/>
          <w:iCs w:val="false"/>
          <w:color w:val="FFFFFF"/>
          <w:sz w:val="18"/>
          <w:szCs w:val="18"/>
          <w:shd w:fill="8C6D1F" w:color="auto" w:val="clear"/>
        </w:rPr>
        <w:t xml:space="preserve">Hypothesis</w:t>
      </w:r>
      <w:r>
        <w:rPr>
          <w:rFonts w:ascii="Calibri" w:cs="Calibri" w:eastAsia="Calibri" w:hAnsi="Calibri"/>
          <w:i w:val="false"/>
          <w:iCs w:val="false"/>
          <w:color w:val="262626"/>
          <w:sz w:val="22"/>
          <w:szCs w:val="22"/>
        </w:rPr>
        <w:t xml:space="preserve">  The July–August 2025 spike is a one-off Internal project or batch of small automated recoveries. Checking whether those records belong to PIN 0006402711 or NCO OA OPT ADMIN would confirm or rule this out.</w:t>
      </w:r>
    </w:p>
    <w:p>
      <w:pPr>
        <w:pStyle w:val="Heading2"/>
        <w:keepNext/>
        <w:spacing w:after="80" w:before="200"/>
      </w:pPr>
      <w:r>
        <w:rPr>
          <w:rFonts w:ascii="Calibri" w:cs="Calibri" w:eastAsia="Calibri" w:hAnsi="Calibri"/>
          <w:b/>
          <w:bCs/>
          <w:color w:val="1F3864"/>
          <w:sz w:val="25"/>
          <w:szCs w:val="25"/>
        </w:rPr>
        <w:t xml:space="preserve">What External finds</w:t>
      </w:r>
    </w:p>
    <w:p>
      <w:pPr>
        <w:keepNext/>
        <w:spacing w:after="40" w:before="120"/>
        <w:jc w:val="center"/>
      </w:pPr>
      <w:r>
        <w:drawing>
          <wp:inline distT="0" distB="0" distL="0" distR="0">
            <wp:extent cx="5715000" cy="1800225"/>
            <wp:effectExtent t="0" r="0" b="0" l="0"/>
            <wp:docPr id="1" name="C2_reason_types.png" descr="Source: Cell 6B. External records and dollars by reason type." title="Source: Cell 6B. External records and dollars by reas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002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Source: Cell 6B. External records and dollars by reason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44"/>
        <w:gridCol w:w="1349"/>
        <w:gridCol w:w="2060"/>
        <w:gridCol w:w="1422"/>
        <w:gridCol w:w="1351"/>
      </w:tblGrid>
      <w:tr>
        <w:trPr>
          <w:tblHeader/>
        </w:trPr>
        <w:tc>
          <w:tcPr>
            <w:tcW w:type="dxa" w:w="2844"/>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External reason</w:t>
            </w:r>
          </w:p>
        </w:tc>
        <w:tc>
          <w:tcPr>
            <w:tcW w:type="dxa" w:w="1349"/>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Records</w:t>
            </w:r>
          </w:p>
        </w:tc>
        <w:tc>
          <w:tcPr>
            <w:tcW w:type="dxa" w:w="2060"/>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 of External records</w:t>
            </w:r>
          </w:p>
        </w:tc>
        <w:tc>
          <w:tcPr>
            <w:tcW w:type="dxa" w:w="1422"/>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Overpaid $</w:t>
            </w:r>
          </w:p>
        </w:tc>
        <w:tc>
          <w:tcPr>
            <w:tcW w:type="dxa" w:w="1351"/>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Recovered</w:t>
            </w:r>
          </w:p>
        </w:tc>
      </w:tr>
      <w:tr>
        <w:trPr>
          <w:cantSplit/>
        </w:trPr>
        <w:tc>
          <w:tcPr>
            <w:tcW w:type="dxa" w:w="284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Investigation/OBD – Commercial OBD Error</w:t>
            </w:r>
          </w:p>
        </w:tc>
        <w:tc>
          <w:tcPr>
            <w:tcW w:type="dxa" w:w="134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4,279</w:t>
            </w:r>
          </w:p>
        </w:tc>
        <w:tc>
          <w:tcPr>
            <w:tcW w:type="dxa" w:w="206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47.5%</w:t>
            </w:r>
          </w:p>
        </w:tc>
        <w:tc>
          <w:tcPr>
            <w:tcW w:type="dxa" w:w="142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$840K</w:t>
            </w:r>
          </w:p>
        </w:tc>
        <w:tc>
          <w:tcPr>
            <w:tcW w:type="dxa" w:w="135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75%</w:t>
            </w:r>
          </w:p>
        </w:tc>
      </w:tr>
      <w:tr>
        <w:trPr>
          <w:cantSplit/>
        </w:trPr>
        <w:tc>
          <w:tcPr>
            <w:tcW w:type="dxa" w:w="284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Subrogation – Non-Provider</w:t>
            </w:r>
          </w:p>
        </w:tc>
        <w:tc>
          <w:tcPr>
            <w:tcW w:type="dxa" w:w="134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1,150</w:t>
            </w:r>
          </w:p>
        </w:tc>
        <w:tc>
          <w:tcPr>
            <w:tcW w:type="dxa" w:w="206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12.8%</w:t>
            </w:r>
          </w:p>
        </w:tc>
        <w:tc>
          <w:tcPr>
            <w:tcW w:type="dxa" w:w="142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$174K</w:t>
            </w:r>
          </w:p>
        </w:tc>
        <w:tc>
          <w:tcPr>
            <w:tcW w:type="dxa" w:w="1351"/>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35%</w:t>
            </w:r>
          </w:p>
        </w:tc>
      </w:tr>
      <w:tr>
        <w:trPr>
          <w:cantSplit/>
        </w:trPr>
        <w:tc>
          <w:tcPr>
            <w:tcW w:type="dxa" w:w="284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No Overpayment</w:t>
            </w:r>
          </w:p>
        </w:tc>
        <w:tc>
          <w:tcPr>
            <w:tcW w:type="dxa" w:w="134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661</w:t>
            </w:r>
          </w:p>
        </w:tc>
        <w:tc>
          <w:tcPr>
            <w:tcW w:type="dxa" w:w="206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7.3%</w:t>
            </w:r>
          </w:p>
        </w:tc>
        <w:tc>
          <w:tcPr>
            <w:tcW w:type="dxa" w:w="142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$38K</w:t>
            </w:r>
          </w:p>
        </w:tc>
        <w:tc>
          <w:tcPr>
            <w:tcW w:type="dxa" w:w="135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36%</w:t>
            </w:r>
          </w:p>
        </w:tc>
      </w:tr>
      <w:tr>
        <w:trPr>
          <w:cantSplit/>
        </w:trPr>
        <w:tc>
          <w:tcPr>
            <w:tcW w:type="dxa" w:w="284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No Aetna Coverage (ACAS/ASH/MDCR only)</w:t>
            </w:r>
          </w:p>
        </w:tc>
        <w:tc>
          <w:tcPr>
            <w:tcW w:type="dxa" w:w="134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432</w:t>
            </w:r>
          </w:p>
        </w:tc>
        <w:tc>
          <w:tcPr>
            <w:tcW w:type="dxa" w:w="206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4.8%</w:t>
            </w:r>
          </w:p>
        </w:tc>
        <w:tc>
          <w:tcPr>
            <w:tcW w:type="dxa" w:w="142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$79K</w:t>
            </w:r>
          </w:p>
        </w:tc>
        <w:tc>
          <w:tcPr>
            <w:tcW w:type="dxa" w:w="1351"/>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66%</w:t>
            </w:r>
          </w:p>
        </w:tc>
      </w:tr>
      <w:tr>
        <w:trPr>
          <w:cantSplit/>
        </w:trPr>
        <w:tc>
          <w:tcPr>
            <w:tcW w:type="dxa" w:w="284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Incorrect Per Diem Rate</w:t>
            </w:r>
          </w:p>
        </w:tc>
        <w:tc>
          <w:tcPr>
            <w:tcW w:type="dxa" w:w="134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367</w:t>
            </w:r>
          </w:p>
        </w:tc>
        <w:tc>
          <w:tcPr>
            <w:tcW w:type="dxa" w:w="206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4.1%</w:t>
            </w:r>
          </w:p>
        </w:tc>
        <w:tc>
          <w:tcPr>
            <w:tcW w:type="dxa" w:w="142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$323K</w:t>
            </w:r>
          </w:p>
        </w:tc>
        <w:tc>
          <w:tcPr>
            <w:tcW w:type="dxa" w:w="135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75%</w:t>
            </w:r>
          </w:p>
        </w:tc>
      </w:tr>
      <w:tr>
        <w:trPr>
          <w:cantSplit/>
        </w:trPr>
        <w:tc>
          <w:tcPr>
            <w:tcW w:type="dxa" w:w="284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Number of Services</w:t>
            </w:r>
          </w:p>
        </w:tc>
        <w:tc>
          <w:tcPr>
            <w:tcW w:type="dxa" w:w="134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276</w:t>
            </w:r>
          </w:p>
        </w:tc>
        <w:tc>
          <w:tcPr>
            <w:tcW w:type="dxa" w:w="206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3.1%</w:t>
            </w:r>
          </w:p>
        </w:tc>
        <w:tc>
          <w:tcPr>
            <w:tcW w:type="dxa" w:w="142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$51K</w:t>
            </w:r>
          </w:p>
        </w:tc>
        <w:tc>
          <w:tcPr>
            <w:tcW w:type="dxa" w:w="1351"/>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96%</w:t>
            </w:r>
          </w:p>
        </w:tc>
      </w:tr>
      <w:tr>
        <w:trPr>
          <w:cantSplit/>
        </w:trPr>
        <w:tc>
          <w:tcPr>
            <w:tcW w:type="dxa" w:w="284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Retro Term</w:t>
            </w:r>
          </w:p>
        </w:tc>
        <w:tc>
          <w:tcPr>
            <w:tcW w:type="dxa" w:w="134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264</w:t>
            </w:r>
          </w:p>
        </w:tc>
        <w:tc>
          <w:tcPr>
            <w:tcW w:type="dxa" w:w="206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2.9%</w:t>
            </w:r>
          </w:p>
        </w:tc>
        <w:tc>
          <w:tcPr>
            <w:tcW w:type="dxa" w:w="142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$43K</w:t>
            </w:r>
          </w:p>
        </w:tc>
        <w:tc>
          <w:tcPr>
            <w:tcW w:type="dxa" w:w="1351"/>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88%</w:t>
            </w:r>
          </w:p>
        </w:tc>
      </w:tr>
      <w:tr>
        <w:trPr>
          <w:cantSplit/>
        </w:trPr>
        <w:tc>
          <w:tcPr>
            <w:tcW w:type="dxa" w:w="284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Incorrect procedure code</w:t>
            </w:r>
          </w:p>
        </w:tc>
        <w:tc>
          <w:tcPr>
            <w:tcW w:type="dxa" w:w="134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192</w:t>
            </w:r>
          </w:p>
        </w:tc>
        <w:tc>
          <w:tcPr>
            <w:tcW w:type="dxa" w:w="206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2.1%</w:t>
            </w:r>
          </w:p>
        </w:tc>
        <w:tc>
          <w:tcPr>
            <w:tcW w:type="dxa" w:w="142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$91K</w:t>
            </w:r>
          </w:p>
        </w:tc>
        <w:tc>
          <w:tcPr>
            <w:tcW w:type="dxa" w:w="1351"/>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47%</w:t>
            </w:r>
          </w:p>
        </w:tc>
      </w:tr>
    </w:tbl>
    <w:p>
      <w:pPr>
        <w:spacing w:after="120"/>
      </w:pPr>
    </w:p>
    <w:p>
      <w:pPr>
        <w:spacing w:after="120" w:line="276"/>
      </w:pPr>
      <w:r>
        <w:rPr>
          <w:rFonts w:ascii="Calibri" w:cs="Calibri" w:eastAsia="Calibri" w:hAnsi="Calibri"/>
          <w:b/>
          <w:bCs/>
          <w:i w:val="false"/>
          <w:iCs w:val="false"/>
          <w:color w:val="FFFFFF"/>
          <w:sz w:val="18"/>
          <w:szCs w:val="18"/>
          <w:shd w:fill="2E75B6" w:color="auto" w:val="clear"/>
        </w:rPr>
        <w:t xml:space="preserve">Observation</w:t>
      </w:r>
      <w:r>
        <w:rPr>
          <w:rFonts w:ascii="Calibri" w:cs="Calibri" w:eastAsia="Calibri" w:hAnsi="Calibri"/>
          <w:i w:val="false"/>
          <w:iCs w:val="false"/>
          <w:color w:val="262626"/>
          <w:sz w:val="22"/>
          <w:szCs w:val="22"/>
        </w:rPr>
        <w:t xml:space="preserve">  Pareto: the top two reasons are 60% of External records, and the top five are 76%. By dollars, commercial OBD, per diem and subrogation make up 58%.</w:t>
      </w:r>
    </w:p>
    <w:p>
      <w:pPr>
        <w:pStyle w:val="Heading2"/>
        <w:keepNext/>
        <w:spacing w:after="80" w:before="200"/>
      </w:pPr>
      <w:r>
        <w:rPr>
          <w:rFonts w:ascii="Calibri" w:cs="Calibri" w:eastAsia="Calibri" w:hAnsi="Calibri"/>
          <w:b/>
          <w:bCs/>
          <w:color w:val="1F3864"/>
          <w:sz w:val="25"/>
          <w:szCs w:val="25"/>
        </w:rPr>
        <w:t xml:space="preserve">Where both teams record the same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5"/>
        <w:gridCol w:w="1518"/>
        <w:gridCol w:w="1518"/>
        <w:gridCol w:w="1200"/>
        <w:gridCol w:w="1200"/>
        <w:gridCol w:w="1655"/>
      </w:tblGrid>
      <w:tr>
        <w:trPr>
          <w:tblHeader/>
        </w:trPr>
        <w:tc>
          <w:tcPr>
            <w:tcW w:type="dxa" w:w="1935"/>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Reason category</w:t>
            </w:r>
          </w:p>
        </w:tc>
        <w:tc>
          <w:tcPr>
            <w:tcW w:type="dxa" w:w="1518"/>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External records</w:t>
            </w:r>
          </w:p>
        </w:tc>
        <w:tc>
          <w:tcPr>
            <w:tcW w:type="dxa" w:w="1518"/>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Internal records</w:t>
            </w:r>
          </w:p>
        </w:tc>
        <w:tc>
          <w:tcPr>
            <w:tcW w:type="dxa" w:w="1200"/>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External $</w:t>
            </w:r>
          </w:p>
        </w:tc>
        <w:tc>
          <w:tcPr>
            <w:tcW w:type="dxa" w:w="1200"/>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Internal $</w:t>
            </w:r>
          </w:p>
        </w:tc>
        <w:tc>
          <w:tcPr>
            <w:tcW w:type="dxa" w:w="1655"/>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External share of $</w:t>
            </w:r>
          </w:p>
        </w:tc>
      </w:tr>
      <w:tr>
        <w:trPr>
          <w:cantSplit/>
        </w:trPr>
        <w:tc>
          <w:tcPr>
            <w:tcW w:type="dxa" w:w="193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COB – Commercial Not Known</w:t>
            </w:r>
          </w:p>
        </w:tc>
        <w:tc>
          <w:tcPr>
            <w:tcW w:type="dxa" w:w="151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4,234</w:t>
            </w:r>
          </w:p>
        </w:tc>
        <w:tc>
          <w:tcPr>
            <w:tcW w:type="dxa" w:w="151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4,499</w:t>
            </w:r>
          </w:p>
        </w:tc>
        <w:tc>
          <w:tcPr>
            <w:tcW w:type="dxa" w:w="120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$852K</w:t>
            </w:r>
          </w:p>
        </w:tc>
        <w:tc>
          <w:tcPr>
            <w:tcW w:type="dxa" w:w="120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$631K</w:t>
            </w:r>
          </w:p>
        </w:tc>
        <w:tc>
          <w:tcPr>
            <w:tcW w:type="dxa" w:w="165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57%</w:t>
            </w:r>
          </w:p>
        </w:tc>
      </w:tr>
      <w:tr>
        <w:trPr>
          <w:cantSplit/>
        </w:trPr>
        <w:tc>
          <w:tcPr>
            <w:tcW w:type="dxa" w:w="193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Contract – Administration</w:t>
            </w:r>
          </w:p>
        </w:tc>
        <w:tc>
          <w:tcPr>
            <w:tcW w:type="dxa" w:w="151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426</w:t>
            </w:r>
          </w:p>
        </w:tc>
        <w:tc>
          <w:tcPr>
            <w:tcW w:type="dxa" w:w="151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10,145</w:t>
            </w:r>
          </w:p>
        </w:tc>
        <w:tc>
          <w:tcPr>
            <w:tcW w:type="dxa" w:w="120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$345K</w:t>
            </w:r>
          </w:p>
        </w:tc>
        <w:tc>
          <w:tcPr>
            <w:tcW w:type="dxa" w:w="120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$339K</w:t>
            </w:r>
          </w:p>
        </w:tc>
        <w:tc>
          <w:tcPr>
            <w:tcW w:type="dxa" w:w="165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50%</w:t>
            </w:r>
          </w:p>
        </w:tc>
      </w:tr>
      <w:tr>
        <w:trPr>
          <w:cantSplit/>
        </w:trPr>
        <w:tc>
          <w:tcPr>
            <w:tcW w:type="dxa" w:w="193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Provider Billing Error</w:t>
            </w:r>
          </w:p>
        </w:tc>
        <w:tc>
          <w:tcPr>
            <w:tcW w:type="dxa" w:w="151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615</w:t>
            </w:r>
          </w:p>
        </w:tc>
        <w:tc>
          <w:tcPr>
            <w:tcW w:type="dxa" w:w="151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2,243</w:t>
            </w:r>
          </w:p>
        </w:tc>
        <w:tc>
          <w:tcPr>
            <w:tcW w:type="dxa" w:w="120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$224K</w:t>
            </w:r>
          </w:p>
        </w:tc>
        <w:tc>
          <w:tcPr>
            <w:tcW w:type="dxa" w:w="120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$719K</w:t>
            </w:r>
          </w:p>
        </w:tc>
        <w:tc>
          <w:tcPr>
            <w:tcW w:type="dxa" w:w="165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24%</w:t>
            </w:r>
          </w:p>
        </w:tc>
      </w:tr>
      <w:tr>
        <w:trPr>
          <w:cantSplit/>
        </w:trPr>
        <w:tc>
          <w:tcPr>
            <w:tcW w:type="dxa" w:w="193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Eligibility</w:t>
            </w:r>
          </w:p>
        </w:tc>
        <w:tc>
          <w:tcPr>
            <w:tcW w:type="dxa" w:w="151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433</w:t>
            </w:r>
          </w:p>
        </w:tc>
        <w:tc>
          <w:tcPr>
            <w:tcW w:type="dxa" w:w="151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1,026</w:t>
            </w:r>
          </w:p>
        </w:tc>
        <w:tc>
          <w:tcPr>
            <w:tcW w:type="dxa" w:w="120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$79K</w:t>
            </w:r>
          </w:p>
        </w:tc>
        <w:tc>
          <w:tcPr>
            <w:tcW w:type="dxa" w:w="120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$164K</w:t>
            </w:r>
          </w:p>
        </w:tc>
        <w:tc>
          <w:tcPr>
            <w:tcW w:type="dxa" w:w="1655"/>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33%</w:t>
            </w:r>
          </w:p>
        </w:tc>
      </w:tr>
      <w:tr>
        <w:trPr>
          <w:cantSplit/>
        </w:trPr>
        <w:tc>
          <w:tcPr>
            <w:tcW w:type="dxa" w:w="193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Policy – Auth/CXT</w:t>
            </w:r>
          </w:p>
        </w:tc>
        <w:tc>
          <w:tcPr>
            <w:tcW w:type="dxa" w:w="151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126</w:t>
            </w:r>
          </w:p>
        </w:tc>
        <w:tc>
          <w:tcPr>
            <w:tcW w:type="dxa" w:w="151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530</w:t>
            </w:r>
          </w:p>
        </w:tc>
        <w:tc>
          <w:tcPr>
            <w:tcW w:type="dxa" w:w="120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$80K</w:t>
            </w:r>
          </w:p>
        </w:tc>
        <w:tc>
          <w:tcPr>
            <w:tcW w:type="dxa" w:w="120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$242K</w:t>
            </w:r>
          </w:p>
        </w:tc>
        <w:tc>
          <w:tcPr>
            <w:tcW w:type="dxa" w:w="1655"/>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25%</w:t>
            </w:r>
          </w:p>
        </w:tc>
      </w:tr>
    </w:tbl>
    <w:p>
      <w:pPr>
        <w:spacing w:after="120"/>
      </w:pPr>
    </w:p>
    <w:p>
      <w:pPr>
        <w:spacing w:after="120" w:line="276"/>
      </w:pPr>
      <w:r>
        <w:rPr>
          <w:rFonts w:ascii="Calibri" w:cs="Calibri" w:eastAsia="Calibri" w:hAnsi="Calibri"/>
          <w:b/>
          <w:bCs/>
          <w:i w:val="false"/>
          <w:iCs w:val="false"/>
          <w:color w:val="FFFFFF"/>
          <w:sz w:val="18"/>
          <w:szCs w:val="18"/>
          <w:shd w:fill="2E75B6" w:color="auto" w:val="clear"/>
        </w:rPr>
        <w:t xml:space="preserve">Observation</w:t>
      </w:r>
      <w:r>
        <w:rPr>
          <w:rFonts w:ascii="Calibri" w:cs="Calibri" w:eastAsia="Calibri" w:hAnsi="Calibri"/>
          <w:i w:val="false"/>
          <w:iCs w:val="false"/>
          <w:color w:val="262626"/>
          <w:sz w:val="22"/>
          <w:szCs w:val="22"/>
        </w:rPr>
        <w:t xml:space="preserve">  In Contract – Administration, External's average record is $810 against Internal's $33. Most of that gap appears to come from per diem errors: 438 records, $452K, 83.8% found by External. Contract financial comments are found by External 97.9% of the time (48 records, $105K).</w:t>
      </w:r>
    </w:p>
    <w:p>
      <w:pPr>
        <w:spacing w:after="120" w:line="276"/>
      </w:pPr>
      <w:r>
        <w:rPr>
          <w:rFonts w:ascii="Calibri" w:cs="Calibri" w:eastAsia="Calibri" w:hAnsi="Calibri"/>
          <w:b/>
          <w:bCs/>
          <w:i w:val="false"/>
          <w:iCs w:val="false"/>
          <w:color w:val="FFFFFF"/>
          <w:sz w:val="18"/>
          <w:szCs w:val="18"/>
          <w:shd w:fill="2E75B6" w:color="auto" w:val="clear"/>
        </w:rPr>
        <w:t xml:space="preserve">Observation</w:t>
      </w:r>
      <w:r>
        <w:rPr>
          <w:rFonts w:ascii="Calibri" w:cs="Calibri" w:eastAsia="Calibri" w:hAnsi="Calibri"/>
          <w:i w:val="false"/>
          <w:iCs w:val="false"/>
          <w:color w:val="262626"/>
          <w:sz w:val="22"/>
          <w:szCs w:val="22"/>
        </w:rPr>
        <w:t xml:space="preserve">  Commercial COB is split roughly evenly between the teams, but they record it under different reasons. In the state view, COB is especially External-heavy in Texas (79%), Maryland (72%) and Virginia (66%), and largest in California (958 External records, $249K).</w:t>
      </w:r>
    </w:p>
    <w:p>
      <w:pPr>
        <w:pStyle w:val="Heading2"/>
        <w:keepNext/>
        <w:spacing w:after="80" w:before="200"/>
      </w:pPr>
      <w:r>
        <w:rPr>
          <w:rFonts w:ascii="Calibri" w:cs="Calibri" w:eastAsia="Calibri" w:hAnsi="Calibri"/>
          <w:b/>
          <w:bCs/>
          <w:color w:val="1F3864"/>
          <w:sz w:val="25"/>
          <w:szCs w:val="25"/>
        </w:rPr>
        <w:t xml:space="preserve">Recovery</w:t>
      </w:r>
    </w:p>
    <w:p>
      <w:pPr>
        <w:keepNext/>
        <w:spacing w:after="40" w:before="120"/>
        <w:jc w:val="center"/>
      </w:pPr>
      <w:r>
        <w:drawing>
          <wp:inline distT="0" distB="0" distL="0" distR="0">
            <wp:extent cx="5715000" cy="1876425"/>
            <wp:effectExtent t="0" r="0" b="0" l="0"/>
            <wp:docPr id="1" name="C6_recovery.png" descr="Source: Cell 3. Overpaid dollars found and estimated recovered, by team." title="Source: Cell 3. Overpaid dollars found and estimated recovered, by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8764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Source: Cell 3. Overpaid dollars found and estimated recovered, by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17"/>
        <w:gridCol w:w="1957"/>
        <w:gridCol w:w="1547"/>
        <w:gridCol w:w="1957"/>
        <w:gridCol w:w="1548"/>
      </w:tblGrid>
      <w:tr>
        <w:trPr>
          <w:tblHeader/>
        </w:trPr>
        <w:tc>
          <w:tcPr>
            <w:tcW w:type="dxa" w:w="2017"/>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Status</w:t>
            </w:r>
          </w:p>
        </w:tc>
        <w:tc>
          <w:tcPr>
            <w:tcW w:type="dxa" w:w="1957"/>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External records</w:t>
            </w:r>
          </w:p>
        </w:tc>
        <w:tc>
          <w:tcPr>
            <w:tcW w:type="dxa" w:w="1547"/>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External $</w:t>
            </w:r>
          </w:p>
        </w:tc>
        <w:tc>
          <w:tcPr>
            <w:tcW w:type="dxa" w:w="1957"/>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Internal records</w:t>
            </w:r>
          </w:p>
        </w:tc>
        <w:tc>
          <w:tcPr>
            <w:tcW w:type="dxa" w:w="1548"/>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right"/>
            </w:pPr>
            <w:r>
              <w:rPr>
                <w:rFonts w:ascii="Calibri" w:cs="Calibri" w:eastAsia="Calibri" w:hAnsi="Calibri"/>
                <w:b/>
                <w:bCs/>
                <w:color w:val="FFFFFF"/>
                <w:sz w:val="17"/>
                <w:szCs w:val="17"/>
              </w:rPr>
              <w:t xml:space="preserve">Internal $</w:t>
            </w:r>
          </w:p>
        </w:tc>
      </w:tr>
      <w:tr>
        <w:trPr>
          <w:cantSplit/>
        </w:trPr>
        <w:tc>
          <w:tcPr>
            <w:tcW w:type="dxa" w:w="201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Recovered</w:t>
            </w:r>
          </w:p>
        </w:tc>
        <w:tc>
          <w:tcPr>
            <w:tcW w:type="dxa" w:w="195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5,642</w:t>
            </w:r>
          </w:p>
        </w:tc>
        <w:tc>
          <w:tcPr>
            <w:tcW w:type="dxa" w:w="154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$1.59M</w:t>
            </w:r>
          </w:p>
        </w:tc>
        <w:tc>
          <w:tcPr>
            <w:tcW w:type="dxa" w:w="195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63,423</w:t>
            </w:r>
          </w:p>
        </w:tc>
        <w:tc>
          <w:tcPr>
            <w:tcW w:type="dxa" w:w="154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$10.06M</w:t>
            </w:r>
          </w:p>
        </w:tc>
      </w:tr>
      <w:tr>
        <w:trPr>
          <w:cantSplit/>
        </w:trPr>
        <w:tc>
          <w:tcPr>
            <w:tcW w:type="dxa" w:w="201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Awaiting Recovery</w:t>
            </w:r>
          </w:p>
        </w:tc>
        <w:tc>
          <w:tcPr>
            <w:tcW w:type="dxa" w:w="195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1,502</w:t>
            </w:r>
          </w:p>
        </w:tc>
        <w:tc>
          <w:tcPr>
            <w:tcW w:type="dxa" w:w="154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$474K</w:t>
            </w:r>
          </w:p>
        </w:tc>
        <w:tc>
          <w:tcPr>
            <w:tcW w:type="dxa" w:w="195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2,119</w:t>
            </w:r>
          </w:p>
        </w:tc>
        <w:tc>
          <w:tcPr>
            <w:tcW w:type="dxa" w:w="154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$606K</w:t>
            </w:r>
          </w:p>
        </w:tc>
      </w:tr>
      <w:tr>
        <w:trPr>
          <w:cantSplit/>
        </w:trPr>
        <w:tc>
          <w:tcPr>
            <w:tcW w:type="dxa" w:w="201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Pended</w:t>
            </w:r>
          </w:p>
        </w:tc>
        <w:tc>
          <w:tcPr>
            <w:tcW w:type="dxa" w:w="195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528</w:t>
            </w:r>
          </w:p>
        </w:tc>
        <w:tc>
          <w:tcPr>
            <w:tcW w:type="dxa" w:w="154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$159K</w:t>
            </w:r>
          </w:p>
        </w:tc>
        <w:tc>
          <w:tcPr>
            <w:tcW w:type="dxa" w:w="195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430</w:t>
            </w:r>
          </w:p>
        </w:tc>
        <w:tc>
          <w:tcPr>
            <w:tcW w:type="dxa" w:w="154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$153K</w:t>
            </w:r>
          </w:p>
        </w:tc>
      </w:tr>
      <w:tr>
        <w:trPr>
          <w:cantSplit/>
        </w:trPr>
        <w:tc>
          <w:tcPr>
            <w:tcW w:type="dxa" w:w="201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Closed</w:t>
            </w:r>
          </w:p>
        </w:tc>
        <w:tc>
          <w:tcPr>
            <w:tcW w:type="dxa" w:w="195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1,342</w:t>
            </w:r>
          </w:p>
        </w:tc>
        <w:tc>
          <w:tcPr>
            <w:tcW w:type="dxa" w:w="154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$94K</w:t>
            </w:r>
          </w:p>
        </w:tc>
        <w:tc>
          <w:tcPr>
            <w:tcW w:type="dxa" w:w="195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1,089</w:t>
            </w:r>
          </w:p>
        </w:tc>
        <w:tc>
          <w:tcPr>
            <w:tcW w:type="dxa" w:w="154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right"/>
            </w:pPr>
            <w:r>
              <w:rPr>
                <w:rFonts w:ascii="Calibri" w:cs="Calibri" w:eastAsia="Calibri" w:hAnsi="Calibri"/>
                <w:color w:val="262626"/>
                <w:sz w:val="17"/>
                <w:szCs w:val="17"/>
              </w:rPr>
              <w:t xml:space="preserve">$27K</w:t>
            </w:r>
          </w:p>
        </w:tc>
      </w:tr>
    </w:tbl>
    <w:p>
      <w:pPr>
        <w:spacing w:after="120"/>
      </w:pPr>
    </w:p>
    <w:p>
      <w:pPr>
        <w:spacing w:after="120" w:line="276"/>
      </w:pPr>
      <w:r>
        <w:rPr>
          <w:rFonts w:ascii="Calibri" w:cs="Calibri" w:eastAsia="Calibri" w:hAnsi="Calibri"/>
          <w:b/>
          <w:bCs/>
          <w:i w:val="false"/>
          <w:iCs w:val="false"/>
          <w:color w:val="FFFFFF"/>
          <w:sz w:val="18"/>
          <w:szCs w:val="18"/>
          <w:shd w:fill="2E75B6" w:color="auto" w:val="clear"/>
        </w:rPr>
        <w:t xml:space="preserve">Observation</w:t>
      </w:r>
      <w:r>
        <w:rPr>
          <w:rFonts w:ascii="Calibri" w:cs="Calibri" w:eastAsia="Calibri" w:hAnsi="Calibri"/>
          <w:i w:val="false"/>
          <w:iCs w:val="false"/>
          <w:color w:val="262626"/>
          <w:sz w:val="22"/>
          <w:szCs w:val="22"/>
        </w:rPr>
        <w:t xml:space="preserve">  External recovery is lowest for subrogation (35%), workers' compensation (35%) and incorrect procedure code (47%), and in Georgia (45%), Texas (58%) and Maryland (62%). Internal recovers 88–99% in every top state. External facility recovery is 72% vs Internal 87%.</w:t>
      </w:r>
    </w:p>
    <w:p>
      <w:pPr>
        <w:pStyle w:val="Heading2"/>
        <w:keepNext/>
        <w:spacing w:after="80" w:before="200"/>
      </w:pPr>
      <w:r>
        <w:rPr>
          <w:rFonts w:ascii="Calibri" w:cs="Calibri" w:eastAsia="Calibri" w:hAnsi="Calibri"/>
          <w:b/>
          <w:bCs/>
          <w:color w:val="1F3864"/>
          <w:sz w:val="25"/>
          <w:szCs w:val="25"/>
        </w:rPr>
        <w:t xml:space="preserve">Claims worked by both teams</w:t>
      </w:r>
    </w:p>
    <w:p>
      <w:pPr>
        <w:keepNext/>
        <w:spacing w:after="40" w:before="120"/>
        <w:jc w:val="center"/>
      </w:pPr>
      <w:r>
        <w:drawing>
          <wp:inline distT="0" distB="0" distL="0" distR="0">
            <wp:extent cx="5715000" cy="1647825"/>
            <wp:effectExtent t="0" r="0" b="0" l="0"/>
            <wp:docPr id="1" name="C7_overlap.png" descr="Source: Cell 11. Overlap claims by type." title="Source: Cell 11. Overlap claims by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6478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Source: Cell 11. Overlap claims by type.</w:t>
      </w:r>
    </w:p>
    <w:p>
      <w:pPr>
        <w:pStyle w:val="ListParagraph"/>
        <w:numPr>
          <w:ilvl w:val="0"/>
          <w:numId w:val="3"/>
        </w:numPr>
        <w:spacing w:after="80" w:line="276"/>
      </w:pPr>
      <w:r>
        <w:rPr>
          <w:rFonts w:ascii="Calibri" w:cs="Calibri" w:eastAsia="Calibri" w:hAnsi="Calibri"/>
          <w:b/>
          <w:bCs/>
          <w:color w:val="FFFFFF"/>
          <w:sz w:val="18"/>
          <w:szCs w:val="18"/>
          <w:shd w:fill="2E75B6" w:color="auto" w:val="clear"/>
        </w:rPr>
        <w:t xml:space="preserve">Observation</w:t>
      </w:r>
      <w:r>
        <w:rPr>
          <w:rFonts w:ascii="Calibri" w:cs="Calibri" w:eastAsia="Calibri" w:hAnsi="Calibri"/>
          <w:color w:val="262626"/>
          <w:sz w:val="22"/>
          <w:szCs w:val="22"/>
        </w:rPr>
        <w:t xml:space="preserve">  71 claims (0.1% of overpaid claims) have both an Internal and an External record. None has the same reason and the same amount on the same segment, and none has Internal plus External above what the claim paid.</w:t>
      </w:r>
    </w:p>
    <w:p>
      <w:pPr>
        <w:pStyle w:val="ListParagraph"/>
        <w:numPr>
          <w:ilvl w:val="0"/>
          <w:numId w:val="3"/>
        </w:numPr>
        <w:spacing w:after="80" w:line="276"/>
      </w:pPr>
      <w:r>
        <w:rPr>
          <w:rFonts w:ascii="Calibri" w:cs="Calibri" w:eastAsia="Calibri" w:hAnsi="Calibri"/>
          <w:b/>
          <w:bCs/>
          <w:color w:val="FFFFFF"/>
          <w:sz w:val="18"/>
          <w:szCs w:val="18"/>
          <w:shd w:fill="2E75B6" w:color="auto" w:val="clear"/>
        </w:rPr>
        <w:t xml:space="preserve">Observation</w:t>
      </w:r>
      <w:r>
        <w:rPr>
          <w:rFonts w:ascii="Calibri" w:cs="Calibri" w:eastAsia="Calibri" w:hAnsi="Calibri"/>
          <w:color w:val="262626"/>
          <w:sz w:val="22"/>
          <w:szCs w:val="22"/>
        </w:rPr>
        <w:t xml:space="preserve">  49 are New York claims where External recovers from the provider and Internal separately recovers the NY surcharge (NYHCRA constituent). Internal's amount is about 11% of External's, and External validated first on 47 of 49.</w:t>
      </w:r>
    </w:p>
    <w:p>
      <w:pPr>
        <w:pStyle w:val="ListParagraph"/>
        <w:numPr>
          <w:ilvl w:val="0"/>
          <w:numId w:val="3"/>
        </w:numPr>
        <w:spacing w:after="80" w:line="276"/>
      </w:pPr>
      <w:r>
        <w:rPr>
          <w:rFonts w:ascii="Calibri" w:cs="Calibri" w:eastAsia="Calibri" w:hAnsi="Calibri"/>
          <w:b/>
          <w:bCs/>
          <w:color w:val="FFFFFF"/>
          <w:sz w:val="18"/>
          <w:szCs w:val="18"/>
          <w:shd w:fill="2E75B6" w:color="auto" w:val="clear"/>
        </w:rPr>
        <w:t xml:space="preserve">Observation</w:t>
      </w:r>
      <w:r>
        <w:rPr>
          <w:rFonts w:ascii="Calibri" w:cs="Calibri" w:eastAsia="Calibri" w:hAnsi="Calibri"/>
          <w:color w:val="262626"/>
          <w:sz w:val="22"/>
          <w:szCs w:val="22"/>
        </w:rPr>
        <w:t xml:space="preserve">  17 are different segments of the same claim (rework or a new version), 115 days apart at the median. 5 have one side at $0.</w:t>
      </w:r>
    </w:p>
    <w:p>
      <w:pPr>
        <w:pStyle w:val="ListParagraph"/>
        <w:numPr>
          <w:ilvl w:val="0"/>
          <w:numId w:val="3"/>
        </w:numPr>
        <w:spacing w:after="80" w:line="276"/>
      </w:pPr>
      <w:r>
        <w:rPr>
          <w:rFonts w:ascii="Calibri" w:cs="Calibri" w:eastAsia="Calibri" w:hAnsi="Calibri"/>
          <w:b/>
          <w:bCs/>
          <w:color w:val="FFFFFF"/>
          <w:sz w:val="18"/>
          <w:szCs w:val="18"/>
          <w:shd w:fill="5B7FA6" w:color="auto" w:val="clear"/>
        </w:rPr>
        <w:t xml:space="preserve">Interpretation</w:t>
      </w:r>
      <w:r>
        <w:rPr>
          <w:rFonts w:ascii="Calibri" w:cs="Calibri" w:eastAsia="Calibri" w:hAnsi="Calibri"/>
          <w:color w:val="262626"/>
          <w:sz w:val="22"/>
          <w:szCs w:val="22"/>
        </w:rPr>
        <w:t xml:space="preserve">  Overlap is not a duplicate-recovery risk in this period.</w:t>
      </w:r>
    </w:p>
    <w:p>
      <w:pPr>
        <w:pStyle w:val="Heading1"/>
        <w:pageBreakBefore/>
        <w:pBdr>
          <w:bottom w:val="single" w:color="2E75B6" w:sz="8" w:space="2"/>
        </w:pBdr>
        <w:spacing w:after="120" w:before="240"/>
      </w:pPr>
      <w:r>
        <w:rPr>
          <w:rFonts w:ascii="Calibri" w:cs="Calibri" w:eastAsia="Calibri" w:hAnsi="Calibri"/>
          <w:b/>
          <w:bCs/>
          <w:color w:val="2E75B6"/>
          <w:sz w:val="32"/>
          <w:szCs w:val="32"/>
        </w:rPr>
        <w:t xml:space="preserve">7. Behavioral health-specific analysis</w:t>
      </w:r>
    </w:p>
    <w:p>
      <w:pPr>
        <w:keepNext/>
        <w:spacing w:after="40" w:before="120"/>
        <w:jc w:val="center"/>
      </w:pPr>
      <w:r>
        <w:drawing>
          <wp:inline distT="0" distB="0" distL="0" distR="0">
            <wp:extent cx="5715000" cy="2828925"/>
            <wp:effectExtent t="0" r="0" b="0" l="0"/>
            <wp:docPr id="1" name="C5_bh_codes.png" descr="Source: Cell 7. External share by BH procedure, revenue and diagnosis codes with at least 100 records." title="Source: Cell 7. External share by BH procedure, revenue and diagnosis codes with at least 100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Source: Cell 7. External share by BH procedure, revenue and diagnosis codes with at least 100 records.</w:t>
      </w:r>
    </w:p>
    <w:p>
      <w:pPr>
        <w:pStyle w:val="ListParagraph"/>
        <w:numPr>
          <w:ilvl w:val="0"/>
          <w:numId w:val="3"/>
        </w:numPr>
        <w:spacing w:after="80" w:line="276"/>
      </w:pPr>
      <w:r>
        <w:rPr>
          <w:rFonts w:ascii="Calibri" w:cs="Calibri" w:eastAsia="Calibri" w:hAnsi="Calibri"/>
          <w:b/>
          <w:bCs/>
          <w:color w:val="FFFFFF"/>
          <w:sz w:val="18"/>
          <w:szCs w:val="18"/>
          <w:shd w:fill="2E75B6" w:color="auto" w:val="clear"/>
        </w:rPr>
        <w:t xml:space="preserve">Observation</w:t>
      </w:r>
      <w:r>
        <w:rPr>
          <w:rFonts w:ascii="Calibri" w:cs="Calibri" w:eastAsia="Calibri" w:hAnsi="Calibri"/>
          <w:color w:val="262626"/>
          <w:sz w:val="22"/>
          <w:szCs w:val="22"/>
        </w:rPr>
        <w:t xml:space="preserve">  </w:t>
      </w:r>
      <w:r>
        <w:rPr>
          <w:rFonts w:ascii="Calibri" w:cs="Calibri" w:eastAsia="Calibri" w:hAnsi="Calibri"/>
          <w:b/>
          <w:bCs/>
          <w:color w:val="262626"/>
          <w:sz w:val="22"/>
          <w:szCs w:val="22"/>
        </w:rPr>
        <w:t xml:space="preserve">Residential care.</w:t>
      </w:r>
      <w:r>
        <w:rPr>
          <w:rFonts w:ascii="Calibri" w:cs="Calibri" w:eastAsia="Calibri" w:hAnsi="Calibri"/>
          <w:color w:val="262626"/>
          <w:sz w:val="22"/>
          <w:szCs w:val="22"/>
        </w:rPr>
        <w:t xml:space="preserve"> H0017 (residential, hospital-based) 57.3% External and H0018 (short-term residential) 54.0%. Psychiatric residential (POS 56) is 43.1% and residential substance use (POS 55) 38.5%. Together H0017, H0018 and H0035 carry 640 records and $1.58M.</w:t>
      </w:r>
    </w:p>
    <w:p>
      <w:pPr>
        <w:pStyle w:val="ListParagraph"/>
        <w:numPr>
          <w:ilvl w:val="0"/>
          <w:numId w:val="3"/>
        </w:numPr>
        <w:spacing w:after="80" w:line="276"/>
      </w:pPr>
      <w:r>
        <w:rPr>
          <w:rFonts w:ascii="Calibri" w:cs="Calibri" w:eastAsia="Calibri" w:hAnsi="Calibri"/>
          <w:b/>
          <w:bCs/>
          <w:color w:val="FFFFFF"/>
          <w:sz w:val="18"/>
          <w:szCs w:val="18"/>
          <w:shd w:fill="2E75B6" w:color="auto" w:val="clear"/>
        </w:rPr>
        <w:t xml:space="preserve">Observation</w:t>
      </w:r>
      <w:r>
        <w:rPr>
          <w:rFonts w:ascii="Calibri" w:cs="Calibri" w:eastAsia="Calibri" w:hAnsi="Calibri"/>
          <w:color w:val="262626"/>
          <w:sz w:val="22"/>
          <w:szCs w:val="22"/>
        </w:rPr>
        <w:t xml:space="preserve">  </w:t>
      </w:r>
      <w:r>
        <w:rPr>
          <w:rFonts w:ascii="Calibri" w:cs="Calibri" w:eastAsia="Calibri" w:hAnsi="Calibri"/>
          <w:b/>
          <w:bCs/>
          <w:color w:val="262626"/>
          <w:sz w:val="22"/>
          <w:szCs w:val="22"/>
        </w:rPr>
        <w:t xml:space="preserve">Partial hospitalization and intensive programs.</w:t>
      </w:r>
      <w:r>
        <w:rPr>
          <w:rFonts w:ascii="Calibri" w:cs="Calibri" w:eastAsia="Calibri" w:hAnsi="Calibri"/>
          <w:color w:val="262626"/>
          <w:sz w:val="22"/>
          <w:szCs w:val="22"/>
        </w:rPr>
        <w:t xml:space="preserve"> H0035 31.8%, revenue codes 912 and 913 at 39.2% and 35.2%, POS 52 at 34.2%.</w:t>
      </w:r>
    </w:p>
    <w:p>
      <w:pPr>
        <w:pStyle w:val="ListParagraph"/>
        <w:numPr>
          <w:ilvl w:val="0"/>
          <w:numId w:val="3"/>
        </w:numPr>
        <w:spacing w:after="80" w:line="276"/>
      </w:pPr>
      <w:r>
        <w:rPr>
          <w:rFonts w:ascii="Calibri" w:cs="Calibri" w:eastAsia="Calibri" w:hAnsi="Calibri"/>
          <w:b/>
          <w:bCs/>
          <w:color w:val="FFFFFF"/>
          <w:sz w:val="18"/>
          <w:szCs w:val="18"/>
          <w:shd w:fill="2E75B6" w:color="auto" w:val="clear"/>
        </w:rPr>
        <w:t xml:space="preserve">Observation</w:t>
      </w:r>
      <w:r>
        <w:rPr>
          <w:rFonts w:ascii="Calibri" w:cs="Calibri" w:eastAsia="Calibri" w:hAnsi="Calibri"/>
          <w:color w:val="262626"/>
          <w:sz w:val="22"/>
          <w:szCs w:val="22"/>
        </w:rPr>
        <w:t xml:space="preserve">  </w:t>
      </w:r>
      <w:r>
        <w:rPr>
          <w:rFonts w:ascii="Calibri" w:cs="Calibri" w:eastAsia="Calibri" w:hAnsi="Calibri"/>
          <w:b/>
          <w:bCs/>
          <w:color w:val="262626"/>
          <w:sz w:val="22"/>
          <w:szCs w:val="22"/>
        </w:rPr>
        <w:t xml:space="preserve">Room and board.</w:t>
      </w:r>
      <w:r>
        <w:rPr>
          <w:rFonts w:ascii="Calibri" w:cs="Calibri" w:eastAsia="Calibri" w:hAnsi="Calibri"/>
          <w:color w:val="262626"/>
          <w:sz w:val="22"/>
          <w:szCs w:val="22"/>
        </w:rPr>
        <w:t xml:space="preserve"> Revenue code 124 (psychiatric) 50.4% and 128 52.6%, with $166K and $184K of External dollars.</w:t>
      </w:r>
    </w:p>
    <w:p>
      <w:pPr>
        <w:pStyle w:val="ListParagraph"/>
        <w:numPr>
          <w:ilvl w:val="0"/>
          <w:numId w:val="3"/>
        </w:numPr>
        <w:spacing w:after="80" w:line="276"/>
      </w:pPr>
      <w:r>
        <w:rPr>
          <w:rFonts w:ascii="Calibri" w:cs="Calibri" w:eastAsia="Calibri" w:hAnsi="Calibri"/>
          <w:b/>
          <w:bCs/>
          <w:color w:val="FFFFFF"/>
          <w:sz w:val="18"/>
          <w:szCs w:val="18"/>
          <w:shd w:fill="2E75B6" w:color="auto" w:val="clear"/>
        </w:rPr>
        <w:t xml:space="preserve">Observation</w:t>
      </w:r>
      <w:r>
        <w:rPr>
          <w:rFonts w:ascii="Calibri" w:cs="Calibri" w:eastAsia="Calibri" w:hAnsi="Calibri"/>
          <w:color w:val="262626"/>
          <w:sz w:val="22"/>
          <w:szCs w:val="22"/>
        </w:rPr>
        <w:t xml:space="preserve">  </w:t>
      </w:r>
      <w:r>
        <w:rPr>
          <w:rFonts w:ascii="Calibri" w:cs="Calibri" w:eastAsia="Calibri" w:hAnsi="Calibri"/>
          <w:b/>
          <w:bCs/>
          <w:color w:val="262626"/>
          <w:sz w:val="22"/>
          <w:szCs w:val="22"/>
        </w:rPr>
        <w:t xml:space="preserve">Substance use.</w:t>
      </w:r>
      <w:r>
        <w:rPr>
          <w:rFonts w:ascii="Calibri" w:cs="Calibri" w:eastAsia="Calibri" w:hAnsi="Calibri"/>
          <w:color w:val="262626"/>
          <w:sz w:val="22"/>
          <w:szCs w:val="22"/>
        </w:rPr>
        <w:t xml:space="preserve"> Alcohol dependence (F1020) is the most External-heavy common diagnosis: 970 records, 29.9% External, $225K External. With provider type SA on a facility claim it reaches 63%.</w:t>
      </w:r>
    </w:p>
    <w:p>
      <w:pPr>
        <w:pStyle w:val="ListParagraph"/>
        <w:numPr>
          <w:ilvl w:val="0"/>
          <w:numId w:val="3"/>
        </w:numPr>
        <w:spacing w:after="80" w:line="276"/>
      </w:pPr>
      <w:r>
        <w:rPr>
          <w:rFonts w:ascii="Calibri" w:cs="Calibri" w:eastAsia="Calibri" w:hAnsi="Calibri"/>
          <w:b/>
          <w:bCs/>
          <w:color w:val="FFFFFF"/>
          <w:sz w:val="18"/>
          <w:szCs w:val="18"/>
          <w:shd w:fill="2E75B6" w:color="auto" w:val="clear"/>
        </w:rPr>
        <w:t xml:space="preserve">Observation</w:t>
      </w:r>
      <w:r>
        <w:rPr>
          <w:rFonts w:ascii="Calibri" w:cs="Calibri" w:eastAsia="Calibri" w:hAnsi="Calibri"/>
          <w:color w:val="262626"/>
          <w:sz w:val="22"/>
          <w:szCs w:val="22"/>
        </w:rPr>
        <w:t xml:space="preserve">  </w:t>
      </w:r>
      <w:r>
        <w:rPr>
          <w:rFonts w:ascii="Calibri" w:cs="Calibri" w:eastAsia="Calibri" w:hAnsi="Calibri"/>
          <w:b/>
          <w:bCs/>
          <w:color w:val="262626"/>
          <w:sz w:val="22"/>
          <w:szCs w:val="22"/>
        </w:rPr>
        <w:t xml:space="preserve">Outpatient therapy.</w:t>
      </w:r>
      <w:r>
        <w:rPr>
          <w:rFonts w:ascii="Calibri" w:cs="Calibri" w:eastAsia="Calibri" w:hAnsi="Calibri"/>
          <w:color w:val="262626"/>
          <w:sz w:val="22"/>
          <w:szCs w:val="22"/>
        </w:rPr>
        <w:t xml:space="preserve"> Diagnostic evaluations (90791) are 19.0% External, rising to 34.8% in home telehealth. Routine psychotherapy and E/M visits (90834, 99214) sit close to average.</w:t>
      </w:r>
    </w:p>
    <w:p>
      <w:pPr>
        <w:pStyle w:val="ListParagraph"/>
        <w:numPr>
          <w:ilvl w:val="0"/>
          <w:numId w:val="3"/>
        </w:numPr>
        <w:spacing w:after="80" w:line="276"/>
      </w:pPr>
      <w:r>
        <w:rPr>
          <w:rFonts w:ascii="Calibri" w:cs="Calibri" w:eastAsia="Calibri" w:hAnsi="Calibri"/>
          <w:b/>
          <w:bCs/>
          <w:color w:val="FFFFFF"/>
          <w:sz w:val="18"/>
          <w:szCs w:val="18"/>
          <w:shd w:fill="2E75B6" w:color="auto" w:val="clear"/>
        </w:rPr>
        <w:t xml:space="preserve">Observation</w:t>
      </w:r>
      <w:r>
        <w:rPr>
          <w:rFonts w:ascii="Calibri" w:cs="Calibri" w:eastAsia="Calibri" w:hAnsi="Calibri"/>
          <w:color w:val="262626"/>
          <w:sz w:val="22"/>
          <w:szCs w:val="22"/>
        </w:rPr>
        <w:t xml:space="preserve">  </w:t>
      </w:r>
      <w:r>
        <w:rPr>
          <w:rFonts w:ascii="Calibri" w:cs="Calibri" w:eastAsia="Calibri" w:hAnsi="Calibri"/>
          <w:b/>
          <w:bCs/>
          <w:color w:val="262626"/>
          <w:sz w:val="22"/>
          <w:szCs w:val="22"/>
        </w:rPr>
        <w:t xml:space="preserve">Telehealth.</w:t>
      </w:r>
      <w:r>
        <w:rPr>
          <w:rFonts w:ascii="Calibri" w:cs="Calibri" w:eastAsia="Calibri" w:hAnsi="Calibri"/>
          <w:color w:val="262626"/>
          <w:sz w:val="22"/>
          <w:szCs w:val="22"/>
        </w:rPr>
        <w:t xml:space="preserve"> POS 02 and 10 hold 49,427 records (65%); External finds 9.5% of them.</w:t>
      </w:r>
    </w:p>
    <w:p>
      <w:pPr>
        <w:pStyle w:val="ListParagraph"/>
        <w:numPr>
          <w:ilvl w:val="0"/>
          <w:numId w:val="3"/>
        </w:numPr>
        <w:spacing w:after="80" w:line="276"/>
      </w:pPr>
      <w:r>
        <w:rPr>
          <w:rFonts w:ascii="Calibri" w:cs="Calibri" w:eastAsia="Calibri" w:hAnsi="Calibri"/>
          <w:b/>
          <w:bCs/>
          <w:color w:val="FFFFFF"/>
          <w:sz w:val="18"/>
          <w:szCs w:val="18"/>
          <w:shd w:fill="8C6D1F" w:color="auto" w:val="clear"/>
        </w:rPr>
        <w:t xml:space="preserve">Hypothesis</w:t>
      </w:r>
      <w:r>
        <w:rPr>
          <w:rFonts w:ascii="Calibri" w:cs="Calibri" w:eastAsia="Calibri" w:hAnsi="Calibri"/>
          <w:color w:val="262626"/>
          <w:sz w:val="22"/>
          <w:szCs w:val="22"/>
        </w:rPr>
        <w:t xml:space="preserve">  Residential and partial-hospitalization claims are paid per diem under facility contracts, and Internal checks do not compare the paid daily rate or room-and-board lines with the contract. Reviewing a sample of the 367 External per diem records against contract terms would test this.</w:t>
      </w:r>
    </w:p>
    <w:p>
      <w:pPr>
        <w:pStyle w:val="ListParagraph"/>
        <w:numPr>
          <w:ilvl w:val="0"/>
          <w:numId w:val="3"/>
        </w:numPr>
        <w:spacing w:after="80" w:line="276"/>
      </w:pPr>
      <w:r>
        <w:rPr>
          <w:rFonts w:ascii="Calibri" w:cs="Calibri" w:eastAsia="Calibri" w:hAnsi="Calibri"/>
          <w:b/>
          <w:bCs/>
          <w:color w:val="262626"/>
          <w:sz w:val="22"/>
          <w:szCs w:val="22"/>
        </w:rPr>
        <w:t xml:space="preserve">Units, session frequency, length of stay and overlapping dates:</w:t>
      </w:r>
      <w:r>
        <w:rPr>
          <w:rFonts w:ascii="Calibri" w:cs="Calibri" w:eastAsia="Calibri" w:hAnsi="Calibri"/>
          <w:color w:val="262626"/>
          <w:sz w:val="22"/>
          <w:szCs w:val="22"/>
        </w:rPr>
        <w:t xml:space="preserve"> </w:t>
      </w:r>
      <w:r>
        <w:rPr>
          <w:rFonts w:ascii="Calibri" w:cs="Calibri" w:eastAsia="Calibri" w:hAnsi="Calibri"/>
          <w:i/>
          <w:iCs/>
          <w:color w:val="595959"/>
          <w:sz w:val="22"/>
          <w:szCs w:val="22"/>
        </w:rPr>
        <w:t xml:space="preserve">not available in the provided EDA outputs</w:t>
      </w:r>
      <w:r>
        <w:rPr>
          <w:rFonts w:ascii="Calibri" w:cs="Calibri" w:eastAsia="Calibri" w:hAnsi="Calibri"/>
          <w:color w:val="262626"/>
          <w:sz w:val="22"/>
          <w:szCs w:val="22"/>
        </w:rPr>
        <w:t xml:space="preserve">.</w:t>
      </w:r>
    </w:p>
    <w:p>
      <w:pPr>
        <w:spacing w:after="120" w:line="276"/>
      </w:pPr>
      <w:r>
        <w:rPr>
          <w:rFonts w:ascii="Calibri" w:cs="Calibri" w:eastAsia="Calibri" w:hAnsi="Calibri"/>
          <w:i/>
          <w:iCs/>
          <w:color w:val="595959"/>
          <w:sz w:val="20"/>
          <w:szCs w:val="20"/>
        </w:rPr>
        <w:t xml:space="preserve">Treat these as areas to investigate. Each needs checking against the provider contract, coding rules and benefit policy before it is called a billing issue.</w:t>
      </w:r>
    </w:p>
    <w:p>
      <w:pPr>
        <w:pStyle w:val="Heading1"/>
        <w:pageBreakBefore/>
        <w:pBdr>
          <w:bottom w:val="single" w:color="2E75B6" w:sz="8" w:space="2"/>
        </w:pBdr>
        <w:spacing w:after="120" w:before="240"/>
      </w:pPr>
      <w:r>
        <w:rPr>
          <w:rFonts w:ascii="Calibri" w:cs="Calibri" w:eastAsia="Calibri" w:hAnsi="Calibri"/>
          <w:b/>
          <w:bCs/>
          <w:color w:val="2E75B6"/>
          <w:sz w:val="32"/>
          <w:szCs w:val="32"/>
        </w:rPr>
        <w:t xml:space="preserve">8. Key findings and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8"/>
        <w:gridCol w:w="1783"/>
        <w:gridCol w:w="1180"/>
        <w:gridCol w:w="1180"/>
        <w:gridCol w:w="1519"/>
        <w:gridCol w:w="1606"/>
      </w:tblGrid>
      <w:tr>
        <w:trPr>
          <w:tblHeader/>
        </w:trPr>
        <w:tc>
          <w:tcPr>
            <w:tcW w:type="dxa" w:w="1758"/>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Finding</w:t>
            </w:r>
          </w:p>
        </w:tc>
        <w:tc>
          <w:tcPr>
            <w:tcW w:type="dxa" w:w="1783"/>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Supporting evidence</w:t>
            </w:r>
          </w:p>
        </w:tc>
        <w:tc>
          <w:tcPr>
            <w:tcW w:type="dxa" w:w="1180"/>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Financial impact</w:t>
            </w:r>
          </w:p>
        </w:tc>
        <w:tc>
          <w:tcPr>
            <w:tcW w:type="dxa" w:w="1180"/>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Claim volume</w:t>
            </w:r>
          </w:p>
        </w:tc>
        <w:tc>
          <w:tcPr>
            <w:tcW w:type="dxa" w:w="1519"/>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Business significance</w:t>
            </w:r>
          </w:p>
        </w:tc>
        <w:tc>
          <w:tcPr>
            <w:tcW w:type="dxa" w:w="1606"/>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Confidence / limitation</w:t>
            </w:r>
          </w:p>
        </w:tc>
      </w:tr>
      <w:tr>
        <w:trPr>
          <w:cantSplit/>
        </w:trPr>
        <w:tc>
          <w:tcPr>
            <w:tcW w:type="dxa" w:w="175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External finds 11.8% of records but 17.6% of dollars</w:t>
            </w:r>
          </w:p>
        </w:tc>
        <w:tc>
          <w:tcPr>
            <w:tcW w:type="dxa" w:w="1783"/>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Cell 3 team split</w:t>
            </w:r>
          </w:p>
        </w:tc>
        <w:tc>
          <w:tcPr>
            <w:tcW w:type="dxa" w:w="118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$2.32M External of $13.17M</w:t>
            </w:r>
          </w:p>
        </w:tc>
        <w:tc>
          <w:tcPr>
            <w:tcW w:type="dxa" w:w="118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8,883 claims</w:t>
            </w:r>
          </w:p>
        </w:tc>
        <w:tc>
          <w:tcPr>
            <w:tcW w:type="dxa" w:w="151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External's work is higher value per case</w:t>
            </w:r>
          </w:p>
        </w:tc>
        <w:tc>
          <w:tcPr>
            <w:tcW w:type="dxa" w:w="160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High</w:t>
            </w:r>
          </w:p>
        </w:tc>
      </w:tr>
      <w:tr>
        <w:trPr>
          <w:cantSplit/>
        </w:trPr>
        <w:tc>
          <w:tcPr>
            <w:tcW w:type="dxa" w:w="175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Most External work uses reasons Internal never records</w:t>
            </w:r>
          </w:p>
        </w:tc>
        <w:tc>
          <w:tcPr>
            <w:tcW w:type="dxa" w:w="1783"/>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Cell 6B: 73% of External records, 59% of $</w:t>
            </w:r>
          </w:p>
        </w:tc>
        <w:tc>
          <w:tcPr>
            <w:tcW w:type="dxa" w:w="118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$1.36M</w:t>
            </w:r>
          </w:p>
        </w:tc>
        <w:tc>
          <w:tcPr>
            <w:tcW w:type="dxa" w:w="118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6,570 records</w:t>
            </w:r>
          </w:p>
        </w:tc>
        <w:tc>
          <w:tcPr>
            <w:tcW w:type="dxa" w:w="151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These require outside data or new Internal capability</w:t>
            </w:r>
          </w:p>
        </w:tc>
        <w:tc>
          <w:tcPr>
            <w:tcW w:type="dxa" w:w="160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Medium: reason labels differ by team for the same COB issue</w:t>
            </w:r>
          </w:p>
        </w:tc>
      </w:tr>
      <w:tr>
        <w:trPr>
          <w:cantSplit/>
        </w:trPr>
        <w:tc>
          <w:tcPr>
            <w:tcW w:type="dxa" w:w="175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Commercial COB is External's largest area</w:t>
            </w:r>
          </w:p>
        </w:tc>
        <w:tc>
          <w:tcPr>
            <w:tcW w:type="dxa" w:w="1783"/>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Commercial OBD Error 4,279 records, 99.8% External; category split ~50/50</w:t>
            </w:r>
          </w:p>
        </w:tc>
        <w:tc>
          <w:tcPr>
            <w:tcW w:type="dxa" w:w="118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$852K External</w:t>
            </w:r>
          </w:p>
        </w:tc>
        <w:tc>
          <w:tcPr>
            <w:tcW w:type="dxa" w:w="118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4,213 claims</w:t>
            </w:r>
          </w:p>
        </w:tc>
        <w:tc>
          <w:tcPr>
            <w:tcW w:type="dxa" w:w="151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Biggest single area to bring in-house</w:t>
            </w:r>
          </w:p>
        </w:tc>
        <w:tc>
          <w:tcPr>
            <w:tcW w:type="dxa" w:w="160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High for size; data source behind External's finds unknown</w:t>
            </w:r>
          </w:p>
        </w:tc>
      </w:tr>
      <w:tr>
        <w:trPr>
          <w:cantSplit/>
        </w:trPr>
        <w:tc>
          <w:tcPr>
            <w:tcW w:type="dxa" w:w="175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Complex and facility claims are External-heavy</w:t>
            </w:r>
          </w:p>
        </w:tc>
        <w:tc>
          <w:tcPr>
            <w:tcW w:type="dxa" w:w="1783"/>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$20K+ 61.9%, 11+ lines 57.3%, facility 28.5%</w:t>
            </w:r>
          </w:p>
        </w:tc>
        <w:tc>
          <w:tcPr>
            <w:tcW w:type="dxa" w:w="118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Facility $4.27M; External $1.20M</w:t>
            </w:r>
          </w:p>
        </w:tc>
        <w:tc>
          <w:tcPr>
            <w:tcW w:type="dxa" w:w="118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4,244 facility records</w:t>
            </w:r>
          </w:p>
        </w:tc>
        <w:tc>
          <w:tcPr>
            <w:tcW w:type="dxa" w:w="151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Internal coverage is thinnest on high-value claims</w:t>
            </w:r>
          </w:p>
        </w:tc>
        <w:tc>
          <w:tcPr>
            <w:tcW w:type="dxa" w:w="160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High</w:t>
            </w:r>
          </w:p>
        </w:tc>
      </w:tr>
      <w:tr>
        <w:trPr>
          <w:cantSplit/>
        </w:trPr>
        <w:tc>
          <w:tcPr>
            <w:tcW w:type="dxa" w:w="175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BH residential and partial-hospitalization codes are External territory</w:t>
            </w:r>
          </w:p>
        </w:tc>
        <w:tc>
          <w:tcPr>
            <w:tcW w:type="dxa" w:w="1783"/>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H0017 57%, H0018 54%, rev 124/128 50–53%, POS 55/56 39–43%</w:t>
            </w:r>
          </w:p>
        </w:tc>
        <w:tc>
          <w:tcPr>
            <w:tcW w:type="dxa" w:w="118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$1.58M on H0017/H0018/H0035</w:t>
            </w:r>
          </w:p>
        </w:tc>
        <w:tc>
          <w:tcPr>
            <w:tcW w:type="dxa" w:w="118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640 records</w:t>
            </w:r>
          </w:p>
        </w:tc>
        <w:tc>
          <w:tcPr>
            <w:tcW w:type="dxa" w:w="151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Clear, codeable target for an Internal check</w:t>
            </w:r>
          </w:p>
        </w:tc>
        <w:tc>
          <w:tcPr>
            <w:tcW w:type="dxa" w:w="160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Medium: small counts per code</w:t>
            </w:r>
          </w:p>
        </w:tc>
      </w:tr>
      <w:tr>
        <w:trPr>
          <w:cantSplit/>
        </w:trPr>
        <w:tc>
          <w:tcPr>
            <w:tcW w:type="dxa" w:w="175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Per diem and contract comments are found almost only by External</w:t>
            </w:r>
          </w:p>
        </w:tc>
        <w:tc>
          <w:tcPr>
            <w:tcW w:type="dxa" w:w="1783"/>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Per diem 83.8%, contract comments 97.9%</w:t>
            </w:r>
          </w:p>
        </w:tc>
        <w:tc>
          <w:tcPr>
            <w:tcW w:type="dxa" w:w="118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$452K + $105K</w:t>
            </w:r>
          </w:p>
        </w:tc>
        <w:tc>
          <w:tcPr>
            <w:tcW w:type="dxa" w:w="118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486 records</w:t>
            </w:r>
          </w:p>
        </w:tc>
        <w:tc>
          <w:tcPr>
            <w:tcW w:type="dxa" w:w="151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Contract rules Internal can learn</w:t>
            </w:r>
          </w:p>
        </w:tc>
        <w:tc>
          <w:tcPr>
            <w:tcW w:type="dxa" w:w="160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High for counts; cause untested</w:t>
            </w:r>
          </w:p>
        </w:tc>
      </w:tr>
      <w:tr>
        <w:trPr>
          <w:cantSplit/>
        </w:trPr>
        <w:tc>
          <w:tcPr>
            <w:tcW w:type="dxa" w:w="175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External recovers less</w:t>
            </w:r>
          </w:p>
        </w:tc>
        <w:tc>
          <w:tcPr>
            <w:tcW w:type="dxa" w:w="1783"/>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73% vs 93%; subrogation 35%; GA 45%</w:t>
            </w:r>
          </w:p>
        </w:tc>
        <w:tc>
          <w:tcPr>
            <w:tcW w:type="dxa" w:w="118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$619K External open</w:t>
            </w:r>
          </w:p>
        </w:tc>
        <w:tc>
          <w:tcPr>
            <w:tcW w:type="dxa" w:w="118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2,030 awaiting or pended records</w:t>
            </w:r>
          </w:p>
        </w:tc>
        <w:tc>
          <w:tcPr>
            <w:tcW w:type="dxa" w:w="151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Money found is not yet money returned</w:t>
            </w:r>
          </w:p>
        </w:tc>
        <w:tc>
          <w:tcPr>
            <w:tcW w:type="dxa" w:w="160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High; Closed counted as recovered</w:t>
            </w:r>
          </w:p>
        </w:tc>
      </w:tr>
      <w:tr>
        <w:trPr>
          <w:cantSplit/>
        </w:trPr>
        <w:tc>
          <w:tcPr>
            <w:tcW w:type="dxa" w:w="175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Overlap carries no double-recovery risk</w:t>
            </w:r>
          </w:p>
        </w:tc>
        <w:tc>
          <w:tcPr>
            <w:tcW w:type="dxa" w:w="1783"/>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Cell 11: 0 same-issue duplicates, 0 over-paid claims</w:t>
            </w:r>
          </w:p>
        </w:tc>
        <w:tc>
          <w:tcPr>
            <w:tcW w:type="dxa" w:w="118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$43K Internal + $71K External</w:t>
            </w:r>
          </w:p>
        </w:tc>
        <w:tc>
          <w:tcPr>
            <w:tcW w:type="dxa" w:w="118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71 claims</w:t>
            </w:r>
          </w:p>
        </w:tc>
        <w:tc>
          <w:tcPr>
            <w:tcW w:type="dxa" w:w="1519"/>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No action beyond monitoring NY surcharge pairs</w:t>
            </w:r>
          </w:p>
        </w:tc>
        <w:tc>
          <w:tcPr>
            <w:tcW w:type="dxa" w:w="160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High</w:t>
            </w:r>
          </w:p>
        </w:tc>
      </w:tr>
      <w:tr>
        <w:trPr>
          <w:cantSplit/>
        </w:trPr>
        <w:tc>
          <w:tcPr>
            <w:tcW w:type="dxa" w:w="175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Rates for recent months are understated</w:t>
            </w:r>
          </w:p>
        </w:tc>
        <w:tc>
          <w:tcPr>
            <w:tcW w:type="dxa" w:w="1783"/>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Aug 2026 OP rate 0.12% vs ~1% norm; validation tail of 441 days</w:t>
            </w:r>
          </w:p>
        </w:tc>
        <w:tc>
          <w:tcPr>
            <w:tcW w:type="dxa" w:w="118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w:t>
            </w:r>
          </w:p>
        </w:tc>
        <w:tc>
          <w:tcPr>
            <w:tcW w:type="dxa" w:w="118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Jun–Aug 2026</w:t>
            </w:r>
          </w:p>
        </w:tc>
        <w:tc>
          <w:tcPr>
            <w:tcW w:type="dxa" w:w="1519"/>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Trends and labels must allow for maturity</w:t>
            </w:r>
          </w:p>
        </w:tc>
        <w:tc>
          <w:tcPr>
            <w:tcW w:type="dxa" w:w="160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7"/>
                <w:szCs w:val="17"/>
              </w:rPr>
              <w:t xml:space="preserve">High</w:t>
            </w:r>
          </w:p>
        </w:tc>
      </w:tr>
    </w:tbl>
    <w:p>
      <w:pPr>
        <w:spacing w:after="120"/>
      </w:pPr>
    </w:p>
    <w:p>
      <w:pPr>
        <w:pStyle w:val="Heading1"/>
        <w:pBdr>
          <w:bottom w:val="single" w:color="2E75B6" w:sz="8" w:space="2"/>
        </w:pBdr>
        <w:spacing w:after="120" w:before="240"/>
      </w:pPr>
      <w:r>
        <w:rPr>
          <w:rFonts w:ascii="Calibri" w:cs="Calibri" w:eastAsia="Calibri" w:hAnsi="Calibri"/>
          <w:b/>
          <w:bCs/>
          <w:color w:val="2E75B6"/>
          <w:sz w:val="32"/>
          <w:szCs w:val="32"/>
        </w:rPr>
        <w:t xml:space="preserve">9. Recommended visualizations</w:t>
      </w:r>
    </w:p>
    <w:p>
      <w:pPr>
        <w:spacing w:after="120" w:line="276"/>
      </w:pPr>
      <w:r>
        <w:rPr>
          <w:rFonts w:ascii="Calibri" w:cs="Calibri" w:eastAsia="Calibri" w:hAnsi="Calibri"/>
          <w:i w:val="false"/>
          <w:iCs w:val="false"/>
          <w:color w:val="262626"/>
          <w:sz w:val="22"/>
          <w:szCs w:val="22"/>
        </w:rPr>
        <w:t xml:space="preserve">Charts 1–7 in this report are built from the current outputs. Before reusing the notebook's own charts, compute their titles from the data (Cell 10 titles are out of date). These would add the most next:</w:t>
      </w:r>
    </w:p>
    <w:p>
      <w:pPr>
        <w:pStyle w:val="ListParagraph"/>
        <w:numPr>
          <w:ilvl w:val="0"/>
          <w:numId w:val="3"/>
        </w:numPr>
        <w:spacing w:after="80" w:line="276"/>
      </w:pPr>
      <w:r>
        <w:rPr>
          <w:rFonts w:ascii="Calibri" w:cs="Calibri" w:eastAsia="Calibri" w:hAnsi="Calibri"/>
          <w:color w:val="262626"/>
          <w:sz w:val="22"/>
          <w:szCs w:val="22"/>
        </w:rPr>
        <w:t xml:space="preserve">Histogram and box plot of overpayment amount on a log scale, by team.</w:t>
      </w:r>
    </w:p>
    <w:p>
      <w:pPr>
        <w:pStyle w:val="ListParagraph"/>
        <w:numPr>
          <w:ilvl w:val="0"/>
          <w:numId w:val="3"/>
        </w:numPr>
        <w:spacing w:after="80" w:line="276"/>
      </w:pPr>
      <w:r>
        <w:rPr>
          <w:rFonts w:ascii="Calibri" w:cs="Calibri" w:eastAsia="Calibri" w:hAnsi="Calibri"/>
          <w:color w:val="262626"/>
          <w:sz w:val="22"/>
          <w:szCs w:val="22"/>
        </w:rPr>
        <w:t xml:space="preserve">Pareto curves of overpaid dollars by reason and by TIN, with and without PIN 0006402711.</w:t>
      </w:r>
    </w:p>
    <w:p>
      <w:pPr>
        <w:pStyle w:val="ListParagraph"/>
        <w:numPr>
          <w:ilvl w:val="0"/>
          <w:numId w:val="3"/>
        </w:numPr>
        <w:spacing w:after="80" w:line="276"/>
      </w:pPr>
      <w:r>
        <w:rPr>
          <w:rFonts w:ascii="Calibri" w:cs="Calibri" w:eastAsia="Calibri" w:hAnsi="Calibri"/>
          <w:color w:val="262626"/>
          <w:sz w:val="22"/>
          <w:szCs w:val="22"/>
        </w:rPr>
        <w:t xml:space="preserve">Heatmap of External share by reason category and place of service.</w:t>
      </w:r>
    </w:p>
    <w:p>
      <w:pPr>
        <w:pStyle w:val="ListParagraph"/>
        <w:numPr>
          <w:ilvl w:val="0"/>
          <w:numId w:val="3"/>
        </w:numPr>
        <w:spacing w:after="80" w:line="276"/>
      </w:pPr>
      <w:r>
        <w:rPr>
          <w:rFonts w:ascii="Calibri" w:cs="Calibri" w:eastAsia="Calibri" w:hAnsi="Calibri"/>
          <w:color w:val="262626"/>
          <w:sz w:val="22"/>
          <w:szCs w:val="22"/>
        </w:rPr>
        <w:t xml:space="preserve">Scatter of claim volume against overpayment rate by provider, sized by dollars (needs all-claim denominators per provider).</w:t>
      </w:r>
    </w:p>
    <w:p>
      <w:pPr>
        <w:pStyle w:val="ListParagraph"/>
        <w:numPr>
          <w:ilvl w:val="0"/>
          <w:numId w:val="3"/>
        </w:numPr>
        <w:spacing w:after="80" w:line="276"/>
      </w:pPr>
      <w:r>
        <w:rPr>
          <w:rFonts w:ascii="Calibri" w:cs="Calibri" w:eastAsia="Calibri" w:hAnsi="Calibri"/>
          <w:color w:val="262626"/>
          <w:sz w:val="22"/>
          <w:szCs w:val="22"/>
        </w:rPr>
        <w:t xml:space="preserve">Recovery curve: share of dollars recovered by days since validation, by team.</w:t>
      </w:r>
    </w:p>
    <w:p>
      <w:pPr>
        <w:pStyle w:val="Heading1"/>
        <w:pBdr>
          <w:bottom w:val="single" w:color="2E75B6" w:sz="8" w:space="2"/>
        </w:pBdr>
        <w:spacing w:after="120" w:before="240"/>
      </w:pPr>
      <w:r>
        <w:rPr>
          <w:rFonts w:ascii="Calibri" w:cs="Calibri" w:eastAsia="Calibri" w:hAnsi="Calibri"/>
          <w:b/>
          <w:bCs/>
          <w:color w:val="2E75B6"/>
          <w:sz w:val="32"/>
          <w:szCs w:val="32"/>
        </w:rPr>
        <w:t xml:space="preserve">10. Limitations and further investigation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22"/>
        <w:gridCol w:w="4704"/>
      </w:tblGrid>
      <w:tr>
        <w:trPr>
          <w:tblHeader/>
        </w:trPr>
        <w:tc>
          <w:tcPr>
            <w:tcW w:type="dxa" w:w="4322"/>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Confirmed in the data</w:t>
            </w:r>
          </w:p>
        </w:tc>
        <w:tc>
          <w:tcPr>
            <w:tcW w:type="dxa" w:w="4704"/>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Hypothesis to test</w:t>
            </w:r>
          </w:p>
        </w:tc>
      </w:tr>
      <w:tr>
        <w:trPr>
          <w:cantSplit/>
        </w:trPr>
        <w:tc>
          <w:tcPr>
            <w:tcW w:type="dxa" w:w="432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73% of External records use reasons Internal never records</w:t>
            </w:r>
          </w:p>
        </w:tc>
        <w:tc>
          <w:tcPr>
            <w:tcW w:type="dxa" w:w="470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External uses outside data, such as commercial coverage files (a business area code contains "CAQH") and accident claims, that Internal does not have</w:t>
            </w:r>
          </w:p>
        </w:tc>
      </w:tr>
      <w:tr>
        <w:trPr>
          <w:cantSplit/>
        </w:trPr>
        <w:tc>
          <w:tcPr>
            <w:tcW w:type="dxa" w:w="432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External's share is 28.5% on facility claims and 54–57% on residential codes</w:t>
            </w:r>
          </w:p>
        </w:tc>
        <w:tc>
          <w:tcPr>
            <w:tcW w:type="dxa" w:w="470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Internal edits target professional claims and do not apply facility contract terms</w:t>
            </w:r>
          </w:p>
        </w:tc>
      </w:tr>
      <w:tr>
        <w:trPr>
          <w:cantSplit/>
        </w:trPr>
        <w:tc>
          <w:tcPr>
            <w:tcW w:type="dxa" w:w="432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External finds 83.8% of per diem errors</w:t>
            </w:r>
          </w:p>
        </w:tc>
        <w:tc>
          <w:tcPr>
            <w:tcW w:type="dxa" w:w="470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Internal has no automated comparison of paid per diem with contracted per diem</w:t>
            </w:r>
          </w:p>
        </w:tc>
      </w:tr>
      <w:tr>
        <w:trPr>
          <w:cantSplit/>
        </w:trPr>
        <w:tc>
          <w:tcPr>
            <w:tcW w:type="dxa" w:w="4322"/>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Internal records spiked in Jul–Aug 2025</w:t>
            </w:r>
          </w:p>
        </w:tc>
        <w:tc>
          <w:tcPr>
            <w:tcW w:type="dxa" w:w="470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A one-off Internal project or bulk small recoveries, possibly PIN 0006402711</w:t>
            </w:r>
          </w:p>
        </w:tc>
      </w:tr>
      <w:tr>
        <w:trPr>
          <w:cantSplit/>
        </w:trPr>
        <w:tc>
          <w:tcPr>
            <w:tcW w:type="dxa" w:w="4322"/>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External recovers 73% vs Internal 93%</w:t>
            </w:r>
          </w:p>
        </w:tc>
        <w:tc>
          <w:tcPr>
            <w:tcW w:type="dxa" w:w="470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Third-party cases are slower to collect, or vendor follow-up differs by state</w:t>
            </w:r>
          </w:p>
        </w:tc>
      </w:tr>
    </w:tbl>
    <w:p>
      <w:pPr>
        <w:spacing w:after="120"/>
      </w:pPr>
    </w:p>
    <w:p>
      <w:pPr>
        <w:pStyle w:val="ListParagraph"/>
        <w:numPr>
          <w:ilvl w:val="0"/>
          <w:numId w:val="3"/>
        </w:numPr>
        <w:spacing w:after="80" w:line="276"/>
      </w:pPr>
      <w:r>
        <w:rPr>
          <w:rFonts w:ascii="Calibri" w:cs="Calibri" w:eastAsia="Calibri" w:hAnsi="Calibri"/>
          <w:b/>
          <w:bCs/>
          <w:color w:val="262626"/>
          <w:sz w:val="22"/>
          <w:szCs w:val="22"/>
        </w:rPr>
        <w:t xml:space="preserve">Workflow bias:</w:t>
      </w:r>
      <w:r>
        <w:rPr>
          <w:rFonts w:ascii="Calibri" w:cs="Calibri" w:eastAsia="Calibri" w:hAnsi="Calibri"/>
          <w:color w:val="262626"/>
          <w:sz w:val="22"/>
          <w:szCs w:val="22"/>
        </w:rPr>
        <w:t xml:space="preserve"> claims reach External after Internal, so External only sees what Internal left. External's share is partly built into the process.</w:t>
      </w:r>
    </w:p>
    <w:p>
      <w:pPr>
        <w:pStyle w:val="ListParagraph"/>
        <w:numPr>
          <w:ilvl w:val="0"/>
          <w:numId w:val="3"/>
        </w:numPr>
        <w:spacing w:after="80" w:line="276"/>
      </w:pPr>
      <w:r>
        <w:rPr>
          <w:rFonts w:ascii="Calibri" w:cs="Calibri" w:eastAsia="Calibri" w:hAnsi="Calibri"/>
          <w:b/>
          <w:bCs/>
          <w:color w:val="262626"/>
          <w:sz w:val="22"/>
          <w:szCs w:val="22"/>
        </w:rPr>
        <w:t xml:space="preserve">Exposure:</w:t>
      </w:r>
      <w:r>
        <w:rPr>
          <w:rFonts w:ascii="Calibri" w:cs="Calibri" w:eastAsia="Calibri" w:hAnsi="Calibri"/>
          <w:color w:val="262626"/>
          <w:sz w:val="22"/>
          <w:szCs w:val="22"/>
        </w:rPr>
        <w:t xml:space="preserve"> External share compares overpayment records only. Rates against all claims exist only at the total and monthly level and for revenue code 450.</w:t>
      </w:r>
    </w:p>
    <w:p>
      <w:pPr>
        <w:pStyle w:val="ListParagraph"/>
        <w:numPr>
          <w:ilvl w:val="0"/>
          <w:numId w:val="3"/>
        </w:numPr>
        <w:spacing w:after="80" w:line="276"/>
      </w:pPr>
      <w:r>
        <w:rPr>
          <w:rFonts w:ascii="Calibri" w:cs="Calibri" w:eastAsia="Calibri" w:hAnsi="Calibri"/>
          <w:b/>
          <w:bCs/>
          <w:color w:val="262626"/>
          <w:sz w:val="22"/>
          <w:szCs w:val="22"/>
        </w:rPr>
        <w:t xml:space="preserve">Attribution:</w:t>
      </w:r>
      <w:r>
        <w:rPr>
          <w:rFonts w:ascii="Calibri" w:cs="Calibri" w:eastAsia="Calibri" w:hAnsi="Calibri"/>
          <w:color w:val="262626"/>
          <w:sz w:val="22"/>
          <w:szCs w:val="22"/>
        </w:rPr>
        <w:t xml:space="preserve"> using the highest-charge line can hide the line that was actually overpaid.</w:t>
      </w:r>
    </w:p>
    <w:p>
      <w:pPr>
        <w:pStyle w:val="ListParagraph"/>
        <w:numPr>
          <w:ilvl w:val="0"/>
          <w:numId w:val="3"/>
        </w:numPr>
        <w:spacing w:after="80" w:line="276"/>
      </w:pPr>
      <w:r>
        <w:rPr>
          <w:rFonts w:ascii="Calibri" w:cs="Calibri" w:eastAsia="Calibri" w:hAnsi="Calibri"/>
          <w:b/>
          <w:bCs/>
          <w:color w:val="262626"/>
          <w:sz w:val="22"/>
          <w:szCs w:val="22"/>
        </w:rPr>
        <w:t xml:space="preserve">Missing data:</w:t>
      </w:r>
      <w:r>
        <w:rPr>
          <w:rFonts w:ascii="Calibri" w:cs="Calibri" w:eastAsia="Calibri" w:hAnsi="Calibri"/>
          <w:color w:val="262626"/>
          <w:sz w:val="22"/>
          <w:szCs w:val="22"/>
        </w:rPr>
        <w:t xml:space="preserve"> allowed amount, units, length of stay, contract terms and column-level quality checks.</w:t>
      </w:r>
    </w:p>
    <w:p>
      <w:pPr>
        <w:pStyle w:val="ListParagraph"/>
        <w:numPr>
          <w:ilvl w:val="0"/>
          <w:numId w:val="3"/>
        </w:numPr>
        <w:spacing w:after="80" w:line="276"/>
      </w:pPr>
      <w:r>
        <w:rPr>
          <w:rFonts w:ascii="Calibri" w:cs="Calibri" w:eastAsia="Calibri" w:hAnsi="Calibri"/>
          <w:b/>
          <w:bCs/>
          <w:color w:val="262626"/>
          <w:sz w:val="22"/>
          <w:szCs w:val="22"/>
        </w:rPr>
        <w:t xml:space="preserve">Small groups:</w:t>
      </w:r>
      <w:r>
        <w:rPr>
          <w:rFonts w:ascii="Calibri" w:cs="Calibri" w:eastAsia="Calibri" w:hAnsi="Calibri"/>
          <w:color w:val="262626"/>
          <w:sz w:val="22"/>
          <w:szCs w:val="22"/>
        </w:rPr>
        <w:t xml:space="preserve"> several BH settings and codes have 100–300 records, so their shares can move with a few cases.</w:t>
      </w:r>
    </w:p>
    <w:p>
      <w:pPr>
        <w:pStyle w:val="Heading1"/>
        <w:pageBreakBefore/>
        <w:pBdr>
          <w:bottom w:val="single" w:color="2E75B6" w:sz="8" w:space="2"/>
        </w:pBdr>
        <w:spacing w:after="120" w:before="240"/>
      </w:pPr>
      <w:r>
        <w:rPr>
          <w:rFonts w:ascii="Calibri" w:cs="Calibri" w:eastAsia="Calibri" w:hAnsi="Calibri"/>
          <w:b/>
          <w:bCs/>
          <w:color w:val="2E75B6"/>
          <w:sz w:val="32"/>
          <w:szCs w:val="32"/>
        </w:rPr>
        <w:t xml:space="preserve">11. Next steps toward machine learning</w:t>
      </w:r>
    </w:p>
    <w:p>
      <w:pPr>
        <w:pStyle w:val="ListParagraph"/>
        <w:numPr>
          <w:ilvl w:val="0"/>
          <w:numId w:val="4"/>
        </w:numPr>
        <w:spacing w:after="80" w:line="276"/>
      </w:pPr>
      <w:r>
        <w:rPr>
          <w:rFonts w:ascii="Calibri" w:cs="Calibri" w:eastAsia="Calibri" w:hAnsi="Calibri"/>
          <w:b/>
          <w:bCs/>
          <w:color w:val="262626"/>
          <w:sz w:val="22"/>
          <w:szCs w:val="22"/>
        </w:rPr>
        <w:t xml:space="preserve">Business objective.</w:t>
      </w:r>
      <w:r>
        <w:rPr>
          <w:rFonts w:ascii="Calibri" w:cs="Calibri" w:eastAsia="Calibri" w:hAnsi="Calibri"/>
          <w:color w:val="262626"/>
          <w:sz w:val="22"/>
          <w:szCs w:val="22"/>
        </w:rPr>
        <w:t xml:space="preserve"> Let Internal catch, before External does, the overpayments External catches today.</w:t>
      </w:r>
    </w:p>
    <w:p>
      <w:pPr>
        <w:pStyle w:val="ListParagraph"/>
        <w:numPr>
          <w:ilvl w:val="0"/>
          <w:numId w:val="4"/>
        </w:numPr>
        <w:spacing w:after="80" w:line="276"/>
      </w:pPr>
      <w:r>
        <w:rPr>
          <w:rFonts w:ascii="Calibri" w:cs="Calibri" w:eastAsia="Calibri" w:hAnsi="Calibri"/>
          <w:b/>
          <w:bCs/>
          <w:color w:val="262626"/>
          <w:sz w:val="22"/>
          <w:szCs w:val="22"/>
        </w:rPr>
        <w:t xml:space="preserve">Target.</w:t>
      </w:r>
      <w:r>
        <w:rPr>
          <w:rFonts w:ascii="Calibri" w:cs="Calibri" w:eastAsia="Calibri" w:hAnsi="Calibri"/>
          <w:color w:val="262626"/>
          <w:sz w:val="22"/>
          <w:szCs w:val="22"/>
        </w:rPr>
        <w:t xml:space="preserve"> Option A: among claims that passed Internal review, "an External overpayment was later validated". Option B, broader: "claim overpaid" across all 5.0M claims. Option A matches the objective; option B needs all-claim features, not just overpaid records.</w:t>
      </w:r>
    </w:p>
    <w:p>
      <w:pPr>
        <w:pStyle w:val="ListParagraph"/>
        <w:numPr>
          <w:ilvl w:val="0"/>
          <w:numId w:val="4"/>
        </w:numPr>
        <w:spacing w:after="80" w:line="276"/>
      </w:pPr>
      <w:r>
        <w:rPr>
          <w:rFonts w:ascii="Calibri" w:cs="Calibri" w:eastAsia="Calibri" w:hAnsi="Calibri"/>
          <w:b/>
          <w:bCs/>
          <w:color w:val="262626"/>
          <w:sz w:val="22"/>
          <w:szCs w:val="22"/>
        </w:rPr>
        <w:t xml:space="preserve">Labels and imbalance.</w:t>
      </w:r>
      <w:r>
        <w:rPr>
          <w:rFonts w:ascii="Calibri" w:cs="Calibri" w:eastAsia="Calibri" w:hAnsi="Calibri"/>
          <w:color w:val="262626"/>
          <w:sz w:val="22"/>
          <w:szCs w:val="22"/>
        </w:rPr>
        <w:t xml:space="preserve"> Positives for option A are about 8,900 claims out of millions reviewed (well under 1%). Only use processing months old enough for labels to mature, for example up to February 2026, and confirm that a claim with no External record was actually eligible for vendor review.</w:t>
      </w:r>
    </w:p>
    <w:p>
      <w:pPr>
        <w:pStyle w:val="ListParagraph"/>
        <w:numPr>
          <w:ilvl w:val="0"/>
          <w:numId w:val="4"/>
        </w:numPr>
        <w:spacing w:after="80" w:line="276"/>
      </w:pPr>
      <w:r>
        <w:rPr>
          <w:rFonts w:ascii="Calibri" w:cs="Calibri" w:eastAsia="Calibri" w:hAnsi="Calibri"/>
          <w:b/>
          <w:bCs/>
          <w:color w:val="262626"/>
          <w:sz w:val="22"/>
          <w:szCs w:val="22"/>
        </w:rPr>
        <w:t xml:space="preserve">Features.</w:t>
      </w:r>
      <w:r>
        <w:rPr>
          <w:rFonts w:ascii="Calibri" w:cs="Calibri" w:eastAsia="Calibri" w:hAnsi="Calibri"/>
          <w:color w:val="262626"/>
          <w:sz w:val="22"/>
          <w:szCs w:val="22"/>
        </w:rPr>
        <w:t xml:space="preserve"> Claim type, place of service, procedure and revenue codes, diagnosis, provider type and specialty, member and service state, billed amount, number of lines, modifiers, plus engineered flags for residential and partial-hospitalization codes and per diem contracts. Add other-coverage indicators if they can be sourced.</w:t>
      </w:r>
    </w:p>
    <w:p>
      <w:pPr>
        <w:pStyle w:val="ListParagraph"/>
        <w:numPr>
          <w:ilvl w:val="0"/>
          <w:numId w:val="4"/>
        </w:numPr>
        <w:spacing w:after="80" w:line="276"/>
      </w:pPr>
      <w:r>
        <w:rPr>
          <w:rFonts w:ascii="Calibri" w:cs="Calibri" w:eastAsia="Calibri" w:hAnsi="Calibri"/>
          <w:b/>
          <w:bCs/>
          <w:color w:val="262626"/>
          <w:sz w:val="22"/>
          <w:szCs w:val="22"/>
        </w:rPr>
        <w:t xml:space="preserve">Leakage.</w:t>
      </w:r>
      <w:r>
        <w:rPr>
          <w:rFonts w:ascii="Calibri" w:cs="Calibri" w:eastAsia="Calibri" w:hAnsi="Calibri"/>
          <w:color w:val="262626"/>
          <w:sz w:val="22"/>
          <w:szCs w:val="22"/>
        </w:rPr>
        <w:t xml:space="preserve"> Exclude OP reason and category, business area, status, lifecycle, concept, bucket, validation dates, recovery amounts and anything recorded after payment. Treat TIN with care: it fits the training data well but may not carry over to new providers.</w:t>
      </w:r>
    </w:p>
    <w:p>
      <w:pPr>
        <w:pStyle w:val="ListParagraph"/>
        <w:numPr>
          <w:ilvl w:val="0"/>
          <w:numId w:val="4"/>
        </w:numPr>
        <w:spacing w:after="80" w:line="276"/>
      </w:pPr>
      <w:r>
        <w:rPr>
          <w:rFonts w:ascii="Calibri" w:cs="Calibri" w:eastAsia="Calibri" w:hAnsi="Calibri"/>
          <w:b/>
          <w:bCs/>
          <w:color w:val="262626"/>
          <w:sz w:val="22"/>
          <w:szCs w:val="22"/>
        </w:rPr>
        <w:t xml:space="preserve">Validation.</w:t>
      </w:r>
      <w:r>
        <w:rPr>
          <w:rFonts w:ascii="Calibri" w:cs="Calibri" w:eastAsia="Calibri" w:hAnsi="Calibri"/>
          <w:color w:val="262626"/>
          <w:sz w:val="22"/>
          <w:szCs w:val="22"/>
        </w:rPr>
        <w:t xml:space="preserve"> Train on earlier processing months and test on later ones. Report results by setting and claim type, not just overall.</w:t>
      </w:r>
    </w:p>
    <w:p>
      <w:pPr>
        <w:pStyle w:val="ListParagraph"/>
        <w:numPr>
          <w:ilvl w:val="0"/>
          <w:numId w:val="4"/>
        </w:numPr>
        <w:spacing w:after="80" w:line="276"/>
      </w:pPr>
      <w:r>
        <w:rPr>
          <w:rFonts w:ascii="Calibri" w:cs="Calibri" w:eastAsia="Calibri" w:hAnsi="Calibri"/>
          <w:b/>
          <w:bCs/>
          <w:color w:val="262626"/>
          <w:sz w:val="22"/>
          <w:szCs w:val="22"/>
        </w:rPr>
        <w:t xml:space="preserve">Models.</w:t>
      </w:r>
      <w:r>
        <w:rPr>
          <w:rFonts w:ascii="Calibri" w:cs="Calibri" w:eastAsia="Calibri" w:hAnsi="Calibri"/>
          <w:color w:val="262626"/>
          <w:sz w:val="22"/>
          <w:szCs w:val="22"/>
        </w:rPr>
        <w:t xml:space="preserve"> Start with a rules baseline (facility + residential or PHP code + billed over $5K), then logistic regression, then gradient-boosted trees.</w:t>
      </w:r>
    </w:p>
    <w:p>
      <w:pPr>
        <w:pStyle w:val="ListParagraph"/>
        <w:numPr>
          <w:ilvl w:val="0"/>
          <w:numId w:val="4"/>
        </w:numPr>
        <w:spacing w:after="80" w:line="276"/>
      </w:pPr>
      <w:r>
        <w:rPr>
          <w:rFonts w:ascii="Calibri" w:cs="Calibri" w:eastAsia="Calibri" w:hAnsi="Calibri"/>
          <w:b/>
          <w:bCs/>
          <w:color w:val="262626"/>
          <w:sz w:val="22"/>
          <w:szCs w:val="22"/>
        </w:rPr>
        <w:t xml:space="preserve">Evaluation.</w:t>
      </w:r>
      <w:r>
        <w:rPr>
          <w:rFonts w:ascii="Calibri" w:cs="Calibri" w:eastAsia="Calibri" w:hAnsi="Calibri"/>
          <w:color w:val="262626"/>
          <w:sz w:val="22"/>
          <w:szCs w:val="22"/>
        </w:rPr>
        <w:t xml:space="preserve"> PR-AUC, precision and recall at the review capacity, calibration, and overpaid dollars found per 100 claims reviewed.</w:t>
      </w:r>
    </w:p>
    <w:p>
      <w:pPr>
        <w:pStyle w:val="ListParagraph"/>
        <w:numPr>
          <w:ilvl w:val="0"/>
          <w:numId w:val="4"/>
        </w:numPr>
        <w:spacing w:after="80" w:line="276"/>
      </w:pPr>
      <w:r>
        <w:rPr>
          <w:rFonts w:ascii="Calibri" w:cs="Calibri" w:eastAsia="Calibri" w:hAnsi="Calibri"/>
          <w:b/>
          <w:bCs/>
          <w:color w:val="262626"/>
          <w:sz w:val="22"/>
          <w:szCs w:val="22"/>
        </w:rPr>
        <w:t xml:space="preserve">Threshold.</w:t>
      </w:r>
      <w:r>
        <w:rPr>
          <w:rFonts w:ascii="Calibri" w:cs="Calibri" w:eastAsia="Calibri" w:hAnsi="Calibri"/>
          <w:color w:val="262626"/>
          <w:sz w:val="22"/>
          <w:szCs w:val="22"/>
        </w:rPr>
        <w:t xml:space="preserve"> Set from the number of claims reviewers can work and the cost of a missed overpayment versus a wasted review.</w:t>
      </w:r>
    </w:p>
    <w:p>
      <w:pPr>
        <w:pStyle w:val="ListParagraph"/>
        <w:numPr>
          <w:ilvl w:val="0"/>
          <w:numId w:val="4"/>
        </w:numPr>
        <w:spacing w:after="80" w:line="276"/>
      </w:pPr>
      <w:r>
        <w:rPr>
          <w:rFonts w:ascii="Calibri" w:cs="Calibri" w:eastAsia="Calibri" w:hAnsi="Calibri"/>
          <w:b/>
          <w:bCs/>
          <w:color w:val="262626"/>
          <w:sz w:val="22"/>
          <w:szCs w:val="22"/>
        </w:rPr>
        <w:t xml:space="preserve">Use.</w:t>
      </w:r>
      <w:r>
        <w:rPr>
          <w:rFonts w:ascii="Calibri" w:cs="Calibri" w:eastAsia="Calibri" w:hAnsi="Calibri"/>
          <w:color w:val="262626"/>
          <w:sz w:val="22"/>
          <w:szCs w:val="22"/>
        </w:rPr>
        <w:t xml:space="preserve"> The model ranks claims for Internal review; auditors confirm every overpayment before recovery.</w:t>
      </w:r>
    </w:p>
    <w:p>
      <w:pPr>
        <w:spacing w:after="120" w:line="276"/>
      </w:pPr>
      <w:r>
        <w:rPr>
          <w:rFonts w:ascii="Calibri" w:cs="Calibri" w:eastAsia="Calibri" w:hAnsi="Calibri"/>
          <w:i/>
          <w:iCs/>
          <w:color w:val="595959"/>
          <w:sz w:val="20"/>
          <w:szCs w:val="20"/>
        </w:rPr>
        <w:t xml:space="preserve">No model has been trained, so there is no evidence yet of how well one would work.</w:t>
      </w:r>
    </w:p>
    <w:p>
      <w:pPr>
        <w:pStyle w:val="Heading1"/>
        <w:pageBreakBefore/>
        <w:pBdr>
          <w:bottom w:val="single" w:color="2E75B6" w:sz="8" w:space="2"/>
        </w:pBdr>
        <w:spacing w:after="120" w:before="240"/>
      </w:pPr>
      <w:r>
        <w:rPr>
          <w:rFonts w:ascii="Calibri" w:cs="Calibri" w:eastAsia="Calibri" w:hAnsi="Calibri"/>
          <w:b/>
          <w:bCs/>
          <w:color w:val="2E75B6"/>
          <w:sz w:val="32"/>
          <w:szCs w:val="32"/>
        </w:rPr>
        <w:t xml:space="preserve">Management summary</w:t>
      </w:r>
    </w:p>
    <w:p>
      <w:pPr>
        <w:pStyle w:val="Heading2"/>
        <w:keepNext/>
        <w:spacing w:after="80" w:before="200"/>
      </w:pPr>
      <w:r>
        <w:rPr>
          <w:rFonts w:ascii="Calibri" w:cs="Calibri" w:eastAsia="Calibri" w:hAnsi="Calibri"/>
          <w:b/>
          <w:bCs/>
          <w:color w:val="1F3864"/>
          <w:sz w:val="25"/>
          <w:szCs w:val="25"/>
        </w:rPr>
        <w:t xml:space="preserve">Answers to the three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76"/>
        <w:gridCol w:w="5150"/>
      </w:tblGrid>
      <w:tr>
        <w:trPr>
          <w:tblHeader/>
        </w:trPr>
        <w:tc>
          <w:tcPr>
            <w:tcW w:type="dxa" w:w="3876"/>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Question</w:t>
            </w:r>
          </w:p>
        </w:tc>
        <w:tc>
          <w:tcPr>
            <w:tcW w:type="dxa" w:w="5150"/>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Answer</w:t>
            </w:r>
          </w:p>
        </w:tc>
      </w:tr>
      <w:tr>
        <w:trPr>
          <w:cantSplit/>
        </w:trPr>
        <w:tc>
          <w:tcPr>
            <w:tcW w:type="dxa" w:w="387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What does the BH claims dataset tell us?</w:t>
            </w:r>
          </w:p>
        </w:tc>
        <w:tc>
          <w:tcPr>
            <w:tcW w:type="dxa" w:w="515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5.0M claims, $806.5M paid, 1.51% of claims overpaid, $13.17M overpaid and 90% recovered. Internal finds 88% of records; External finds the rest.</w:t>
            </w:r>
          </w:p>
        </w:tc>
      </w:tr>
      <w:tr>
        <w:trPr>
          <w:cantSplit/>
        </w:trPr>
        <w:tc>
          <w:tcPr>
            <w:tcW w:type="dxa" w:w="387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What patterns and financial risks are visible?</w:t>
            </w:r>
          </w:p>
        </w:tc>
        <w:tc>
          <w:tcPr>
            <w:tcW w:type="dxa" w:w="515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External concentrates on other-coverage, subrogation and complex facility claims, especially residential and partial hospitalization, and holds 46% of the unrecovered money.</w:t>
            </w:r>
          </w:p>
        </w:tc>
      </w:tr>
      <w:tr>
        <w:trPr>
          <w:cantSplit/>
        </w:trPr>
        <w:tc>
          <w:tcPr>
            <w:tcW w:type="dxa" w:w="387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What should we investigate before building a model?</w:t>
            </w:r>
          </w:p>
        </w:tc>
        <w:tc>
          <w:tcPr>
            <w:tcW w:type="dxa" w:w="515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Data maturity, the PIN 0006402711 records, reason-label mapping, Closed-status recovery, and a contract review of External's per diem finds.</w:t>
            </w:r>
          </w:p>
        </w:tc>
      </w:tr>
    </w:tbl>
    <w:p>
      <w:pPr>
        <w:spacing w:after="120"/>
      </w:pPr>
    </w:p>
    <w:p>
      <w:pPr>
        <w:pStyle w:val="Heading2"/>
        <w:keepNext/>
        <w:spacing w:after="80" w:before="200"/>
      </w:pPr>
      <w:r>
        <w:rPr>
          <w:rFonts w:ascii="Calibri" w:cs="Calibri" w:eastAsia="Calibri" w:hAnsi="Calibri"/>
          <w:b/>
          <w:bCs/>
          <w:color w:val="1F3864"/>
          <w:sz w:val="25"/>
          <w:szCs w:val="25"/>
        </w:rPr>
        <w:t xml:space="preserve">Five evidence-backed findings</w:t>
      </w:r>
    </w:p>
    <w:p>
      <w:pPr>
        <w:pStyle w:val="ListParagraph"/>
        <w:numPr>
          <w:ilvl w:val="0"/>
          <w:numId w:val="5"/>
        </w:numPr>
        <w:spacing w:after="80" w:line="276"/>
      </w:pPr>
      <w:r>
        <w:rPr>
          <w:rFonts w:ascii="Calibri" w:cs="Calibri" w:eastAsia="Calibri" w:hAnsi="Calibri"/>
          <w:color w:val="262626"/>
          <w:sz w:val="22"/>
          <w:szCs w:val="22"/>
        </w:rPr>
        <w:t xml:space="preserve">External finds 11.8% of overpayment records but 17.6% of the dollars and 46% of the money still open.</w:t>
      </w:r>
    </w:p>
    <w:p>
      <w:pPr>
        <w:pStyle w:val="ListParagraph"/>
        <w:numPr>
          <w:ilvl w:val="0"/>
          <w:numId w:val="5"/>
        </w:numPr>
        <w:spacing w:after="80" w:line="276"/>
      </w:pPr>
      <w:r>
        <w:rPr>
          <w:rFonts w:ascii="Calibri" w:cs="Calibri" w:eastAsia="Calibri" w:hAnsi="Calibri"/>
          <w:color w:val="262626"/>
          <w:sz w:val="22"/>
          <w:szCs w:val="22"/>
        </w:rPr>
        <w:t xml:space="preserve">73% of External records use reasons Internal never records, led by commercial COB investigations (4,279) and subrogation (1,150).</w:t>
      </w:r>
    </w:p>
    <w:p>
      <w:pPr>
        <w:pStyle w:val="ListParagraph"/>
        <w:numPr>
          <w:ilvl w:val="0"/>
          <w:numId w:val="5"/>
        </w:numPr>
        <w:spacing w:after="80" w:line="276"/>
      </w:pPr>
      <w:r>
        <w:rPr>
          <w:rFonts w:ascii="Calibri" w:cs="Calibri" w:eastAsia="Calibri" w:hAnsi="Calibri"/>
          <w:color w:val="262626"/>
          <w:sz w:val="22"/>
          <w:szCs w:val="22"/>
        </w:rPr>
        <w:t xml:space="preserve">External's share rises to 28.5% on facility claims, 57–62% on large or many-line claims, and 54–57% on residential codes H0017 and H0018.</w:t>
      </w:r>
    </w:p>
    <w:p>
      <w:pPr>
        <w:pStyle w:val="ListParagraph"/>
        <w:numPr>
          <w:ilvl w:val="0"/>
          <w:numId w:val="5"/>
        </w:numPr>
        <w:spacing w:after="80" w:line="276"/>
      </w:pPr>
      <w:r>
        <w:rPr>
          <w:rFonts w:ascii="Calibri" w:cs="Calibri" w:eastAsia="Calibri" w:hAnsi="Calibri"/>
          <w:color w:val="262626"/>
          <w:sz w:val="22"/>
          <w:szCs w:val="22"/>
        </w:rPr>
        <w:t xml:space="preserve">In contract administration External finds half the dollars with 4% of the records; per diem errors are $452K, 84% External.</w:t>
      </w:r>
    </w:p>
    <w:p>
      <w:pPr>
        <w:pStyle w:val="ListParagraph"/>
        <w:numPr>
          <w:ilvl w:val="0"/>
          <w:numId w:val="5"/>
        </w:numPr>
        <w:spacing w:after="80" w:line="276"/>
      </w:pPr>
      <w:r>
        <w:rPr>
          <w:rFonts w:ascii="Calibri" w:cs="Calibri" w:eastAsia="Calibri" w:hAnsi="Calibri"/>
          <w:color w:val="262626"/>
          <w:sz w:val="22"/>
          <w:szCs w:val="22"/>
        </w:rPr>
        <w:t xml:space="preserve">External recovers 73% of what it finds against Internal's 93%, with subrogation at 35% and $633K awaiting or pended.</w:t>
      </w:r>
    </w:p>
    <w:p>
      <w:pPr>
        <w:pStyle w:val="Heading2"/>
        <w:keepNext/>
        <w:spacing w:after="80" w:before="200"/>
      </w:pPr>
      <w:r>
        <w:rPr>
          <w:rFonts w:ascii="Calibri" w:cs="Calibri" w:eastAsia="Calibri" w:hAnsi="Calibri"/>
          <w:b/>
          <w:bCs/>
          <w:color w:val="1F3864"/>
          <w:sz w:val="25"/>
          <w:szCs w:val="25"/>
        </w:rPr>
        <w:t xml:space="preserve">Prioritized action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37"/>
        <w:gridCol w:w="3598"/>
        <w:gridCol w:w="2077"/>
        <w:gridCol w:w="2214"/>
      </w:tblGrid>
      <w:tr>
        <w:trPr>
          <w:tblHeader/>
        </w:trPr>
        <w:tc>
          <w:tcPr>
            <w:tcW w:type="dxa" w:w="1137"/>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Priority</w:t>
            </w:r>
          </w:p>
        </w:tc>
        <w:tc>
          <w:tcPr>
            <w:tcW w:type="dxa" w:w="3598"/>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Action</w:t>
            </w:r>
          </w:p>
        </w:tc>
        <w:tc>
          <w:tcPr>
            <w:tcW w:type="dxa" w:w="2077"/>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Owner</w:t>
            </w:r>
          </w:p>
        </w:tc>
        <w:tc>
          <w:tcPr>
            <w:tcW w:type="dxa" w:w="2214"/>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Money in scope</w:t>
            </w:r>
          </w:p>
        </w:tc>
      </w:tr>
      <w:tr>
        <w:trPr>
          <w:cantSplit/>
        </w:trPr>
        <w:tc>
          <w:tcPr>
            <w:tcW w:type="dxa" w:w="113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1</w:t>
            </w:r>
          </w:p>
        </w:tc>
        <w:tc>
          <w:tcPr>
            <w:tcW w:type="dxa" w:w="359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Fix the data issues in Section 3: maturity cut-off, PIN 0006402711 check, Closed vs Recovered, $0 records, notebook chart titles</w:t>
            </w:r>
          </w:p>
        </w:tc>
        <w:tc>
          <w:tcPr>
            <w:tcW w:type="dxa" w:w="207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Analytics</w:t>
            </w:r>
          </w:p>
        </w:tc>
        <w:tc>
          <w:tcPr>
            <w:tcW w:type="dxa" w:w="221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Foundation for all figures</w:t>
            </w:r>
          </w:p>
        </w:tc>
      </w:tr>
      <w:tr>
        <w:trPr>
          <w:cantSplit/>
        </w:trPr>
        <w:tc>
          <w:tcPr>
            <w:tcW w:type="dxa" w:w="113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2</w:t>
            </w:r>
          </w:p>
        </w:tc>
        <w:tc>
          <w:tcPr>
            <w:tcW w:type="dxa" w:w="359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Work down External's awaiting and pended backlog, largest first, starting with subrogation</w:t>
            </w:r>
          </w:p>
        </w:tc>
        <w:tc>
          <w:tcPr>
            <w:tcW w:type="dxa" w:w="207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Recovery team with vendors</w:t>
            </w:r>
          </w:p>
        </w:tc>
        <w:tc>
          <w:tcPr>
            <w:tcW w:type="dxa" w:w="221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$633K</w:t>
            </w:r>
          </w:p>
        </w:tc>
      </w:tr>
      <w:tr>
        <w:trPr>
          <w:cantSplit/>
        </w:trPr>
        <w:tc>
          <w:tcPr>
            <w:tcW w:type="dxa" w:w="113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3</w:t>
            </w:r>
          </w:p>
        </w:tc>
        <w:tc>
          <w:tcPr>
            <w:tcW w:type="dxa" w:w="359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Review External per diem and contract-comment finds against facility contracts, then design an Internal check for residential and PHP claims (H0017, H0018, H0035, rev 124/128/912/913, POS 52/55/56)</w:t>
            </w:r>
          </w:p>
        </w:tc>
        <w:tc>
          <w:tcPr>
            <w:tcW w:type="dxa" w:w="207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Analytics with contract set-up</w:t>
            </w:r>
          </w:p>
        </w:tc>
        <w:tc>
          <w:tcPr>
            <w:tcW w:type="dxa" w:w="221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$557K found; $1.58M on these codes</w:t>
            </w:r>
          </w:p>
        </w:tc>
      </w:tr>
      <w:tr>
        <w:trPr>
          <w:cantSplit/>
        </w:trPr>
        <w:tc>
          <w:tcPr>
            <w:tcW w:type="dxa" w:w="113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4</w:t>
            </w:r>
          </w:p>
        </w:tc>
        <w:tc>
          <w:tcPr>
            <w:tcW w:type="dxa" w:w="359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Compare External's commercial COB process and data sources with Internal's "other carrier" process</w:t>
            </w:r>
          </w:p>
        </w:tc>
        <w:tc>
          <w:tcPr>
            <w:tcW w:type="dxa" w:w="207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Internal COB team</w:t>
            </w:r>
          </w:p>
        </w:tc>
        <w:tc>
          <w:tcPr>
            <w:tcW w:type="dxa" w:w="221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$852K External COB</w:t>
            </w:r>
          </w:p>
        </w:tc>
      </w:tr>
      <w:tr>
        <w:trPr>
          <w:cantSplit/>
        </w:trPr>
        <w:tc>
          <w:tcPr>
            <w:tcW w:type="dxa" w:w="113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5</w:t>
            </w:r>
          </w:p>
        </w:tc>
        <w:tc>
          <w:tcPr>
            <w:tcW w:type="dxa" w:w="3598"/>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Agree a common issue taxonomy so both teams' reasons can be compared</w:t>
            </w:r>
          </w:p>
        </w:tc>
        <w:tc>
          <w:tcPr>
            <w:tcW w:type="dxa" w:w="2077"/>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Business owners</w:t>
            </w:r>
          </w:p>
        </w:tc>
        <w:tc>
          <w:tcPr>
            <w:tcW w:type="dxa" w:w="2214"/>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w:t>
            </w:r>
          </w:p>
        </w:tc>
      </w:tr>
      <w:tr>
        <w:trPr>
          <w:cantSplit/>
        </w:trPr>
        <w:tc>
          <w:tcPr>
            <w:tcW w:type="dxa" w:w="113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6</w:t>
            </w:r>
          </w:p>
        </w:tc>
        <w:tc>
          <w:tcPr>
            <w:tcW w:type="dxa" w:w="3598"/>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Agree the model target, label window and review capacity before training</w:t>
            </w:r>
          </w:p>
        </w:tc>
        <w:tc>
          <w:tcPr>
            <w:tcW w:type="dxa" w:w="2077"/>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Analytics and business owner</w:t>
            </w:r>
          </w:p>
        </w:tc>
        <w:tc>
          <w:tcPr>
            <w:tcW w:type="dxa" w:w="2214"/>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w:t>
            </w:r>
          </w:p>
        </w:tc>
      </w:tr>
    </w:tbl>
    <w:p>
      <w:pPr>
        <w:spacing w:after="120"/>
      </w:pPr>
    </w:p>
    <w:p>
      <w:pPr>
        <w:pStyle w:val="Heading1"/>
        <w:pBdr>
          <w:bottom w:val="single" w:color="2E75B6" w:sz="8" w:space="2"/>
        </w:pBdr>
        <w:spacing w:after="120" w:before="240"/>
      </w:pPr>
      <w:r>
        <w:rPr>
          <w:rFonts w:ascii="Calibri" w:cs="Calibri" w:eastAsia="Calibri" w:hAnsi="Calibri"/>
          <w:b/>
          <w:bCs/>
          <w:color w:val="2E75B6"/>
          <w:sz w:val="32"/>
          <w:szCs w:val="32"/>
        </w:rPr>
        <w:t xml:space="preserve">Terms used in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30"/>
        <w:gridCol w:w="5996"/>
      </w:tblGrid>
      <w:tr>
        <w:trPr>
          <w:tblHeader/>
        </w:trPr>
        <w:tc>
          <w:tcPr>
            <w:tcW w:type="dxa" w:w="3030"/>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Term</w:t>
            </w:r>
          </w:p>
        </w:tc>
        <w:tc>
          <w:tcPr>
            <w:tcW w:type="dxa" w:w="5996"/>
            <w:tcBorders>
              <w:top w:val="single" w:color="BFC9D9" w:sz="4"/>
              <w:left w:val="single" w:color="BFC9D9" w:sz="4"/>
              <w:bottom w:val="single" w:color="BFC9D9" w:sz="4"/>
              <w:right w:val="single" w:color="BFC9D9" w:sz="4"/>
            </w:tcBorders>
            <w:shd w:fill="1F3864"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Meaning</w:t>
            </w:r>
          </w:p>
        </w:tc>
      </w:tr>
      <w:tr>
        <w:trPr>
          <w:cantSplit/>
        </w:trPr>
        <w:tc>
          <w:tcPr>
            <w:tcW w:type="dxa" w:w="303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Overpayment record</w:t>
            </w:r>
          </w:p>
        </w:tc>
        <w:tc>
          <w:tcPr>
            <w:tcW w:type="dxa" w:w="599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One OP_Id: one overpayment found on a claim. A claim can have several.</w:t>
            </w:r>
          </w:p>
        </w:tc>
      </w:tr>
      <w:tr>
        <w:trPr>
          <w:cantSplit/>
        </w:trPr>
        <w:tc>
          <w:tcPr>
            <w:tcW w:type="dxa" w:w="303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Internal / External</w:t>
            </w:r>
          </w:p>
        </w:tc>
        <w:tc>
          <w:tcPr>
            <w:tcW w:type="dxa" w:w="599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Our own review areas / outside vendors (Business Area Level 1 = "NCO OA External Supplier").</w:t>
            </w:r>
          </w:p>
        </w:tc>
      </w:tr>
      <w:tr>
        <w:trPr>
          <w:cantSplit/>
        </w:trPr>
        <w:tc>
          <w:tcPr>
            <w:tcW w:type="dxa" w:w="303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External share</w:t>
            </w:r>
          </w:p>
        </w:tc>
        <w:tc>
          <w:tcPr>
            <w:tcW w:type="dxa" w:w="599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External records ÷ all records in the group. 11.8% overall.</w:t>
            </w:r>
          </w:p>
        </w:tc>
      </w:tr>
      <w:tr>
        <w:trPr>
          <w:cantSplit/>
        </w:trPr>
        <w:tc>
          <w:tcPr>
            <w:tcW w:type="dxa" w:w="303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Excess External records</w:t>
            </w:r>
          </w:p>
        </w:tc>
        <w:tc>
          <w:tcPr>
            <w:tcW w:type="dxa" w:w="599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External records above what 11.8% would predict for the group.</w:t>
            </w:r>
          </w:p>
        </w:tc>
      </w:tr>
      <w:tr>
        <w:trPr>
          <w:cantSplit/>
        </w:trPr>
        <w:tc>
          <w:tcPr>
            <w:tcW w:type="dxa" w:w="303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Leakage rate</w:t>
            </w:r>
          </w:p>
        </w:tc>
        <w:tc>
          <w:tcPr>
            <w:tcW w:type="dxa" w:w="599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Overpaid dollars ÷ paid dollars.</w:t>
            </w:r>
          </w:p>
        </w:tc>
      </w:tr>
      <w:tr>
        <w:trPr>
          <w:cantSplit/>
        </w:trPr>
        <w:tc>
          <w:tcPr>
            <w:tcW w:type="dxa" w:w="303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COB / OBD</w:t>
            </w:r>
          </w:p>
        </w:tc>
        <w:tc>
          <w:tcPr>
            <w:tcW w:type="dxa" w:w="599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Coordination of benefits / other benefits: another plan should have paid first.</w:t>
            </w:r>
          </w:p>
        </w:tc>
      </w:tr>
      <w:tr>
        <w:trPr>
          <w:cantSplit/>
        </w:trPr>
        <w:tc>
          <w:tcPr>
            <w:tcW w:type="dxa" w:w="303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Subrogation</w:t>
            </w:r>
          </w:p>
        </w:tc>
        <w:tc>
          <w:tcPr>
            <w:tcW w:type="dxa" w:w="599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Recovering money from a third party, usually after an accident.</w:t>
            </w:r>
          </w:p>
        </w:tc>
      </w:tr>
      <w:tr>
        <w:trPr>
          <w:cantSplit/>
        </w:trPr>
        <w:tc>
          <w:tcPr>
            <w:tcW w:type="dxa" w:w="303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Per diem</w:t>
            </w:r>
          </w:p>
        </w:tc>
        <w:tc>
          <w:tcPr>
            <w:tcW w:type="dxa" w:w="599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A fixed daily payment set in a facility contract.</w:t>
            </w:r>
          </w:p>
        </w:tc>
      </w:tr>
      <w:tr>
        <w:trPr>
          <w:cantSplit/>
        </w:trPr>
        <w:tc>
          <w:tcPr>
            <w:tcW w:type="dxa" w:w="3030"/>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Place of service (POS)</w:t>
            </w:r>
          </w:p>
        </w:tc>
        <w:tc>
          <w:tcPr>
            <w:tcW w:type="dxa" w:w="5996"/>
            <w:tcBorders>
              <w:top w:val="single" w:color="BFC9D9" w:sz="4"/>
              <w:left w:val="single" w:color="BFC9D9" w:sz="4"/>
              <w:bottom w:val="single" w:color="BFC9D9" w:sz="4"/>
              <w:right w:val="single" w:color="BFC9D9" w:sz="4"/>
            </w:tcBorders>
            <w:shd w:fill="FFFFFF"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02/10 telehealth, 11 office, 21 inpatient, 22 on-campus outpatient hospital, 23 ER, 52 partial hospitalization, 55/56 residential treatment.</w:t>
            </w:r>
          </w:p>
        </w:tc>
      </w:tr>
      <w:tr>
        <w:trPr>
          <w:cantSplit/>
        </w:trPr>
        <w:tc>
          <w:tcPr>
            <w:tcW w:type="dxa" w:w="3030"/>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Mix effect</w:t>
            </w:r>
          </w:p>
        </w:tc>
        <w:tc>
          <w:tcPr>
            <w:tcW w:type="dxa" w:w="5996"/>
            <w:tcBorders>
              <w:top w:val="single" w:color="BFC9D9" w:sz="4"/>
              <w:left w:val="single" w:color="BFC9D9" w:sz="4"/>
              <w:bottom w:val="single" w:color="BFC9D9" w:sz="4"/>
              <w:right w:val="single" w:color="BFC9D9" w:sz="4"/>
            </w:tcBorders>
            <w:shd w:fill="EEF3FA" w:color="auto" w:val="clear"/>
            <w:tcMar>
              <w:top w:type="dxa" w:w="60"/>
              <w:left w:type="dxa" w:w="90"/>
              <w:bottom w:type="dxa" w:w="60"/>
              <w:right w:type="dxa" w:w="90"/>
            </w:tcMar>
          </w:tcPr>
          <w:p>
            <w:pPr>
              <w:jc w:val="left"/>
            </w:pPr>
            <w:r>
              <w:rPr>
                <w:rFonts w:ascii="Calibri" w:cs="Calibri" w:eastAsia="Calibri" w:hAnsi="Calibri"/>
                <w:color w:val="262626"/>
                <w:sz w:val="19"/>
                <w:szCs w:val="19"/>
              </w:rPr>
              <w:t xml:space="preserve">An overall average that differs because groups work different kinds of cases, not because they differ within each kind.</w:t>
            </w:r>
          </w:p>
        </w:tc>
      </w:tr>
    </w:tbl>
    <w:p>
      <w:pPr>
        <w:spacing w:after="120"/>
      </w:pPr>
    </w:p>
    <w:p>
      <w:pPr>
        <w:spacing w:after="120" w:line="276"/>
      </w:pPr>
      <w:r>
        <w:rPr>
          <w:rFonts w:ascii="Calibri" w:cs="Calibri" w:eastAsia="Calibri" w:hAnsi="Calibri"/>
          <w:i/>
          <w:iCs/>
          <w:color w:val="595959"/>
          <w:sz w:val="18"/>
          <w:szCs w:val="18"/>
        </w:rPr>
        <w:t xml:space="preserve">Claim, provider and member details stay in the notebook files inside the approved environment.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BH Overpayments · Internal vs External EDA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80"/>
      </w:pPr>
    </w:lvl>
  </w:abstractNum>
  <w:abstractNum w:abstractNumId="4" w15:restartNumberingAfterBreak="0">
    <w:multiLevelType w:val="hybridMultilevel"/>
    <w:lvl w:ilvl="0" w15:tentative="1">
      <w:start w:val="1"/>
      <w:numFmt w:val="decimal"/>
      <w:lvlText w:val="%1."/>
      <w:lvlJc w:val="left"/>
      <w:pPr>
        <w:ind w:left="360" w:hanging="280"/>
      </w:pPr>
    </w:lvl>
  </w:abstractNum>
  <w:abstractNum w:abstractNumId="5" w15:restartNumberingAfterBreak="0">
    <w:multiLevelType w:val="hybridMultilevel"/>
    <w:lvl w:ilvl="0" w15:tentative="1">
      <w:start w:val="1"/>
      <w:numFmt w:val="decimal"/>
      <w:lvlText w:val="%1."/>
      <w:lvlJc w:val="left"/>
      <w:pPr>
        <w:ind w:left="3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2E75B6"/>
      <w:sz w:val="32"/>
      <w:szCs w:val="32"/>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Title">
    <w:name w:val="Title"/>
    <w:basedOn w:val="Normal"/>
    <w:next w:val="Normal"/>
    <w:rPr>
      <w:rFonts w:ascii="Calibri" w:cs="Calibri" w:eastAsia="Calibri" w:hAnsi="Calibri"/>
      <w:b/>
      <w:bCs/>
      <w:color w:val="1F3864"/>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57496bdb34622da72e1861c4bc058de5271ea1.png"/><Relationship Id="rId10" Type="http://schemas.openxmlformats.org/officeDocument/2006/relationships/image" Target="media/025337a8dd1766d050ebd0fbbc8cd0008ac36c60.png"/><Relationship Id="rId11" Type="http://schemas.openxmlformats.org/officeDocument/2006/relationships/image" Target="media/73cb29f4928d3e093155e4851e411abffaeae1ba.png"/><Relationship Id="rId12" Type="http://schemas.openxmlformats.org/officeDocument/2006/relationships/image" Target="media/dbc4fd6977a09e7831d08e6acb79aaf0c6fe5256.png"/><Relationship Id="rId13" Type="http://schemas.openxmlformats.org/officeDocument/2006/relationships/image" Target="media/c12ec2e218ae7c791b85eb4cdc4f1c28cef894dc.png"/><Relationship Id="rId14" Type="http://schemas.openxmlformats.org/officeDocument/2006/relationships/image" Target="media/e4c5d551af79ba8fdc6387c96668753d7afa5157.png"/><Relationship Id="rId15" Type="http://schemas.openxmlformats.org/officeDocument/2006/relationships/image" Target="media/31e43e181e91070e692ccc6e54a19bde872303e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 Overpayment EDA Report</dc:title>
  <dc:creator>Divyajyothi</dc:creator>
  <cp:lastModifiedBy>Un-named</cp:lastModifiedBy>
  <cp:revision>1</cp:revision>
  <dcterms:created xsi:type="dcterms:W3CDTF">2026-10-26T18:32:06.874Z</dcterms:created>
  <dcterms:modified xsi:type="dcterms:W3CDTF">2026-10-26T18:32:06.874Z</dcterms:modified>
</cp:coreProperties>
</file>

<file path=docProps/custom.xml><?xml version="1.0" encoding="utf-8"?>
<Properties xmlns="http://schemas.openxmlformats.org/officeDocument/2006/custom-properties" xmlns:vt="http://schemas.openxmlformats.org/officeDocument/2006/docPropsVTypes"/>
</file>