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 w:line="264" w:lineRule="auto"/>
      </w:pPr>
      <w:r>
        <w:rPr>
          <w:rFonts w:ascii="Calibri" w:hAnsi="Calibri"/>
          <w:b/>
          <w:i w:val="0"/>
          <w:color w:val="595959"/>
          <w:sz w:val="22"/>
        </w:rPr>
        <w:t>MANUAL EJECUTIVO</w:t>
      </w:r>
    </w:p>
    <w:p>
      <w:pPr>
        <w:spacing w:before="0" w:after="80" w:line="264" w:lineRule="auto"/>
      </w:pPr>
      <w:r>
        <w:rPr>
          <w:rFonts w:ascii="Calibri" w:hAnsi="Calibri"/>
          <w:b/>
          <w:i w:val="0"/>
          <w:color w:val="000000"/>
          <w:sz w:val="44"/>
        </w:rPr>
        <w:t>Instalación, volumetría y puesta en operación de IMSSight</w:t>
      </w:r>
    </w:p>
    <w:p>
      <w:pPr>
        <w:spacing w:before="0" w:after="240" w:line="264" w:lineRule="auto"/>
      </w:pPr>
      <w:r>
        <w:rPr>
          <w:rFonts w:ascii="Calibri" w:hAnsi="Calibri"/>
          <w:b w:val="0"/>
          <w:i w:val="0"/>
          <w:color w:val="595959"/>
          <w:sz w:val="26"/>
        </w:rPr>
        <w:t>Documento de referencia para coordinación de alto nivel y ejecución técnica controlada</w:t>
      </w:r>
    </w:p>
    <w:tbl>
      <w:tblPr>
        <w:tblStyle w:val="TableGrid"/>
        <w:tblW w:type="dxa" w:w="9360"/>
        <w:tblLook w:firstColumn="1" w:firstRow="1" w:lastColumn="0" w:lastRow="0" w:noHBand="0" w:noVBand="1" w:val="04A0"/>
        <w:tblInd w:w="120" w:type="dxa"/>
        <w:tblLayout w:type="fixed"/>
      </w:tblPr>
      <w:tblGrid>
        <w:gridCol w:w="2500"/>
        <w:gridCol w:w="6860"/>
      </w:tblGrid>
      <w:tr>
        <w:tc>
          <w:tcPr>
            <w:tcW w:type="dxa" w:w="9360"/>
            <w:gridSpan w:val="2"/>
            <w:shd w:fill="E8EEF5"/>
          </w:tcPr>
          <w:p>
            <w:r>
              <w:rPr>
                <w:rFonts w:ascii="Calibri" w:hAnsi="Calibri"/>
                <w:b/>
                <w:color w:val="1F4D78"/>
                <w:sz w:val="21"/>
              </w:rPr>
              <w:t>Ficha de control documental</w:t>
            </w:r>
          </w:p>
        </w:tc>
      </w:tr>
      <w:tr>
        <w:tc>
          <w:tcPr>
            <w:tcW w:type="dxa" w:w="25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Calibri" w:hAnsi="Calibri"/>
                <w:b/>
                <w:color w:val="1F4D78"/>
                <w:sz w:val="21"/>
              </w:rPr>
              <w:t>Fecha de corte</w:t>
            </w:r>
          </w:p>
        </w:tc>
        <w:tc>
          <w:tcPr>
            <w:tcW w:type="dxa" w:w="68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Calibri" w:hAnsi="Calibri"/>
                <w:color w:val="141F2B"/>
                <w:sz w:val="21"/>
              </w:rPr>
              <w:t>31 de julio de 2026</w:t>
            </w:r>
          </w:p>
        </w:tc>
      </w:tr>
      <w:tr>
        <w:tc>
          <w:tcPr>
            <w:tcW w:type="dxa" w:w="25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Calibri" w:hAnsi="Calibri"/>
                <w:b/>
                <w:color w:val="1F4D78"/>
                <w:sz w:val="21"/>
              </w:rPr>
              <w:t>Paquete de entrega</w:t>
            </w:r>
          </w:p>
        </w:tc>
        <w:tc>
          <w:tcPr>
            <w:tcW w:type="dxa" w:w="68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Calibri" w:hAnsi="Calibri"/>
                <w:color w:val="141F2B"/>
                <w:sz w:val="21"/>
              </w:rPr>
              <w:t>entrega_tecnica_imssight_20260731_140636</w:t>
            </w:r>
          </w:p>
        </w:tc>
      </w:tr>
      <w:tr>
        <w:tc>
          <w:tcPr>
            <w:tcW w:type="dxa" w:w="25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Calibri" w:hAnsi="Calibri"/>
                <w:b/>
                <w:color w:val="1F4D78"/>
                <w:sz w:val="21"/>
              </w:rPr>
              <w:t>Alcance operativo</w:t>
            </w:r>
          </w:p>
        </w:tc>
        <w:tc>
          <w:tcPr>
            <w:tcW w:type="dxa" w:w="68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Calibri" w:hAnsi="Calibri"/>
                <w:color w:val="141F2B"/>
                <w:sz w:val="21"/>
              </w:rPr>
              <w:t>Instalación del contenido incluido en la memoria Kingston, sin carga de videos locales.</w:t>
            </w:r>
          </w:p>
        </w:tc>
      </w:tr>
      <w:tr>
        <w:tc>
          <w:tcPr>
            <w:tcW w:type="dxa" w:w="25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Calibri" w:hAnsi="Calibri"/>
                <w:b/>
                <w:color w:val="1F4D78"/>
                <w:sz w:val="21"/>
              </w:rPr>
              <w:t>Base de datos</w:t>
            </w:r>
          </w:p>
        </w:tc>
        <w:tc>
          <w:tcPr>
            <w:tcW w:type="dxa" w:w="68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Calibri" w:hAnsi="Calibri"/>
                <w:color w:val="141F2B"/>
                <w:sz w:val="21"/>
              </w:rPr>
              <w:t>MariaDB 10.11.17, base imssight, respaldo SQL incluido.</w:t>
            </w:r>
          </w:p>
        </w:tc>
      </w:tr>
      <w:tr>
        <w:tc>
          <w:tcPr>
            <w:tcW w:type="dxa" w:w="25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Calibri" w:hAnsi="Calibri"/>
                <w:b/>
                <w:color w:val="1F4D78"/>
                <w:sz w:val="21"/>
              </w:rPr>
              <w:t>Aplicación</w:t>
            </w:r>
          </w:p>
        </w:tc>
        <w:tc>
          <w:tcPr>
            <w:tcW w:type="dxa" w:w="68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Calibri" w:hAnsi="Calibri"/>
                <w:color w:val="141F2B"/>
                <w:sz w:val="21"/>
              </w:rPr>
              <w:t>PHP 8.2.31 sobre Apache 2.4.67, ejecutable mediante Docker Compose.</w:t>
            </w:r>
          </w:p>
        </w:tc>
      </w:tr>
      <w:tr>
        <w:tc>
          <w:tcPr>
            <w:tcW w:type="dxa" w:w="25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Calibri" w:hAnsi="Calibri"/>
                <w:b/>
                <w:color w:val="1F4D78"/>
                <w:sz w:val="21"/>
              </w:rPr>
              <w:t>Carácter del documento</w:t>
            </w:r>
          </w:p>
        </w:tc>
        <w:tc>
          <w:tcPr>
            <w:tcW w:type="dxa" w:w="68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Calibri" w:hAnsi="Calibri"/>
                <w:color w:val="141F2B"/>
                <w:sz w:val="21"/>
              </w:rPr>
              <w:t>Manual ejecutivo-administrativo con comandos mínimos de instalación y verificación.</w:t>
            </w:r>
          </w:p>
        </w:tc>
      </w:tr>
    </w:tbl>
    <w:p>
      <w:pPr>
        <w:spacing w:before="0" w:after="80" w:line="264" w:lineRule="auto"/>
      </w:pPr>
    </w:p>
    <w:p>
      <w:pPr>
        <w:spacing w:before="0" w:after="160" w:line="264" w:lineRule="auto"/>
        <w:pBdr>
          <w:bottom w:val="single" w:sz="8" w:space="6" w:color="2E74B5"/>
        </w:pBdr>
      </w:pPr>
    </w:p>
    <w:p>
      <w:pPr>
        <w:pStyle w:val="Heading1"/>
        <w:spacing w:before="320" w:after="160"/>
      </w:pPr>
      <w:r>
        <w:rPr>
          <w:rFonts w:ascii="Calibri" w:hAnsi="Calibri"/>
          <w:b/>
          <w:color w:val="2E74B5"/>
          <w:sz w:val="32"/>
        </w:rPr>
        <w:t>1. Propósito y alcance</w:t>
      </w:r>
    </w:p>
    <w:p>
      <w:pPr>
        <w:spacing w:before="0" w:after="120" w:line="264" w:lineRule="auto"/>
      </w:pPr>
      <w:r>
        <w:rPr>
          <w:rFonts w:ascii="Calibri" w:hAnsi="Calibri"/>
          <w:b w:val="0"/>
          <w:i w:val="0"/>
          <w:color w:val="141F2B"/>
          <w:sz w:val="22"/>
        </w:rPr>
        <w:t>El presente manual establece, en lenguaje administrativo y ejecutivo, los elementos mínimos para instalar, validar y resguardar la plataforma IMSSight a partir de la memoria de entrega. Su énfasis principal es la volumetría del paquete, las versiones de software observadas, los puntos de montaje y los comandos de ejecución indispensables para el personal técnico responsable.</w:t>
      </w:r>
    </w:p>
    <w:tbl>
      <w:tblPr>
        <w:tblStyle w:val="TableGrid"/>
        <w:tblW w:type="dxa" w:w="9360"/>
        <w:tblLook w:firstColumn="1" w:firstRow="1" w:lastColumn="0" w:lastRow="0" w:noHBand="0" w:noVBand="1" w:val="04A0"/>
        <w:tblInd w:w="120" w:type="dxa"/>
        <w:tblLayout w:type="fixed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r>
              <w:rPr>
                <w:rFonts w:ascii="Calibri" w:hAnsi="Calibri"/>
                <w:b/>
                <w:color w:val="1F4D78"/>
                <w:sz w:val="22"/>
              </w:rPr>
              <w:t>Criterio rector</w:t>
            </w:r>
            <w:r>
              <w:br/>
            </w:r>
            <w:r>
              <w:rPr>
                <w:rFonts w:ascii="Calibri" w:hAnsi="Calibri"/>
                <w:color w:val="141F2B"/>
                <w:sz w:val="21"/>
              </w:rPr>
              <w:t>La entrega no incorpora videos locales. La carpeta app/video fue excluida del paquete operativo y no debe cargarse al servidor aplicativo. Esta decisión reduce sustancialmente el volumen de transferencia, almacenamiento y ancho de banda requerido.</w:t>
            </w:r>
          </w:p>
        </w:tc>
      </w:tr>
    </w:tbl>
    <w:p>
      <w:pPr>
        <w:spacing w:before="0" w:after="40" w:line="264" w:lineRule="auto"/>
      </w:pPr>
    </w:p>
    <w:p>
      <w:r>
        <w:br w:type="page"/>
      </w:r>
    </w:p>
    <w:p>
      <w:pPr>
        <w:pStyle w:val="Heading1"/>
        <w:spacing w:before="320" w:after="160"/>
      </w:pPr>
      <w:r>
        <w:rPr>
          <w:rFonts w:ascii="Calibri" w:hAnsi="Calibri"/>
          <w:b/>
          <w:color w:val="2E74B5"/>
          <w:sz w:val="32"/>
        </w:rPr>
        <w:t>2. Contenido visible en la memoria</w:t>
      </w:r>
    </w:p>
    <w:tbl>
      <w:tblPr>
        <w:tblStyle w:val="TableGrid"/>
        <w:tblW w:type="dxa" w:w="9360"/>
        <w:tblLook w:firstColumn="1" w:firstRow="1" w:lastColumn="0" w:lastRow="0" w:noHBand="0" w:noVBand="1" w:val="04A0"/>
        <w:tblInd w:w="120" w:type="dxa"/>
        <w:tblLayout w:type="fixed"/>
      </w:tblPr>
      <w:tblGrid>
        <w:gridCol w:w="1850"/>
        <w:gridCol w:w="3400"/>
        <w:gridCol w:w="1450"/>
        <w:gridCol w:w="2660"/>
      </w:tblGrid>
      <w:tr>
        <w:tc>
          <w:tcPr>
            <w:tcW w:type="dxa" w:w="1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jc w:val="center"/>
            </w:pPr>
            <w:r>
              <w:rPr>
                <w:rFonts w:ascii="Calibri" w:hAnsi="Calibri"/>
                <w:b/>
                <w:color w:val="1F4D78"/>
                <w:sz w:val="20"/>
              </w:rPr>
              <w:t>Elemento</w:t>
            </w:r>
          </w:p>
        </w:tc>
        <w:tc>
          <w:tcPr>
            <w:tcW w:type="dxa" w:w="3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jc w:val="center"/>
            </w:pPr>
            <w:r>
              <w:rPr>
                <w:rFonts w:ascii="Calibri" w:hAnsi="Calibri"/>
                <w:b/>
                <w:color w:val="1F4D78"/>
                <w:sz w:val="20"/>
              </w:rPr>
              <w:t>Archivo o ruta</w:t>
            </w:r>
          </w:p>
        </w:tc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jc w:val="center"/>
            </w:pPr>
            <w:r>
              <w:rPr>
                <w:rFonts w:ascii="Calibri" w:hAnsi="Calibri"/>
                <w:b/>
                <w:color w:val="1F4D78"/>
                <w:sz w:val="20"/>
              </w:rPr>
              <w:t>Volumen aproximado</w:t>
            </w:r>
          </w:p>
        </w:tc>
        <w:tc>
          <w:tcPr>
            <w:tcW w:type="dxa" w:w="2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jc w:val="center"/>
            </w:pPr>
            <w:r>
              <w:rPr>
                <w:rFonts w:ascii="Calibri" w:hAnsi="Calibri"/>
                <w:b/>
                <w:color w:val="1F4D78"/>
                <w:sz w:val="20"/>
              </w:rPr>
              <w:t>Finalidad</w:t>
            </w:r>
          </w:p>
        </w:tc>
      </w:tr>
      <w:tr>
        <w:tc>
          <w:tcPr>
            <w:tcW w:type="dxa" w:w="1850"/>
          </w:tcPr>
          <w:p>
            <w:r>
              <w:rPr>
                <w:rFonts w:ascii="Calibri" w:hAnsi="Calibri"/>
                <w:color w:val="141F2B"/>
                <w:sz w:val="19"/>
              </w:rPr>
              <w:t>Código aplicativo</w:t>
            </w:r>
          </w:p>
        </w:tc>
        <w:tc>
          <w:tcPr>
            <w:tcW w:type="dxa" w:w="3400"/>
          </w:tcPr>
          <w:p>
            <w:pPr>
              <w:jc w:val="center"/>
            </w:pPr>
            <w:r>
              <w:rPr>
                <w:rFonts w:ascii="Calibri" w:hAnsi="Calibri"/>
                <w:color w:val="141F2B"/>
                <w:sz w:val="19"/>
              </w:rPr>
              <w:t>codigo/imssight_codigo_sin_videos_20260731_140636.tar.gz</w:t>
            </w:r>
          </w:p>
        </w:tc>
        <w:tc>
          <w:tcPr>
            <w:tcW w:type="dxa" w:w="1450"/>
          </w:tcPr>
          <w:p>
            <w:pPr>
              <w:jc w:val="center"/>
            </w:pPr>
            <w:r>
              <w:rPr>
                <w:rFonts w:ascii="Calibri" w:hAnsi="Calibri"/>
                <w:color w:val="141F2B"/>
                <w:sz w:val="19"/>
              </w:rPr>
              <w:t>212 MB</w:t>
            </w:r>
          </w:p>
        </w:tc>
        <w:tc>
          <w:tcPr>
            <w:tcW w:type="dxa" w:w="2660"/>
          </w:tcPr>
          <w:p>
            <w:pPr>
              <w:jc w:val="center"/>
            </w:pPr>
            <w:r>
              <w:rPr>
                <w:rFonts w:ascii="Calibri" w:hAnsi="Calibri"/>
                <w:color w:val="141F2B"/>
                <w:sz w:val="19"/>
              </w:rPr>
              <w:t>Fuente operativo sin videos locales.</w:t>
            </w:r>
          </w:p>
        </w:tc>
      </w:tr>
      <w:tr>
        <w:tc>
          <w:tcPr>
            <w:tcW w:type="dxa" w:w="1850"/>
          </w:tcPr>
          <w:p>
            <w:r>
              <w:rPr>
                <w:rFonts w:ascii="Calibri" w:hAnsi="Calibri"/>
                <w:color w:val="141F2B"/>
                <w:sz w:val="19"/>
              </w:rPr>
              <w:t>Base SQL</w:t>
            </w:r>
          </w:p>
        </w:tc>
        <w:tc>
          <w:tcPr>
            <w:tcW w:type="dxa" w:w="3400"/>
          </w:tcPr>
          <w:p>
            <w:pPr>
              <w:jc w:val="center"/>
            </w:pPr>
            <w:r>
              <w:rPr>
                <w:rFonts w:ascii="Calibri" w:hAnsi="Calibri"/>
                <w:color w:val="141F2B"/>
                <w:sz w:val="19"/>
              </w:rPr>
              <w:t>database/imssight_20260731_140636.sql</w:t>
            </w:r>
          </w:p>
        </w:tc>
        <w:tc>
          <w:tcPr>
            <w:tcW w:type="dxa" w:w="1450"/>
          </w:tcPr>
          <w:p>
            <w:pPr>
              <w:jc w:val="center"/>
            </w:pPr>
            <w:r>
              <w:rPr>
                <w:rFonts w:ascii="Calibri" w:hAnsi="Calibri"/>
                <w:color w:val="141F2B"/>
                <w:sz w:val="19"/>
              </w:rPr>
              <w:t>56 MB</w:t>
            </w:r>
          </w:p>
        </w:tc>
        <w:tc>
          <w:tcPr>
            <w:tcW w:type="dxa" w:w="2660"/>
          </w:tcPr>
          <w:p>
            <w:pPr>
              <w:jc w:val="center"/>
            </w:pPr>
            <w:r>
              <w:rPr>
                <w:rFonts w:ascii="Calibri" w:hAnsi="Calibri"/>
                <w:color w:val="141F2B"/>
                <w:sz w:val="19"/>
              </w:rPr>
              <w:t>Restauración completa de la base imssight.</w:t>
            </w:r>
          </w:p>
        </w:tc>
      </w:tr>
      <w:tr>
        <w:tc>
          <w:tcPr>
            <w:tcW w:type="dxa" w:w="1850"/>
          </w:tcPr>
          <w:p>
            <w:r>
              <w:rPr>
                <w:rFonts w:ascii="Calibri" w:hAnsi="Calibri"/>
                <w:color w:val="141F2B"/>
                <w:sz w:val="19"/>
              </w:rPr>
              <w:t>Base SQL comprimida</w:t>
            </w:r>
          </w:p>
        </w:tc>
        <w:tc>
          <w:tcPr>
            <w:tcW w:type="dxa" w:w="3400"/>
          </w:tcPr>
          <w:p>
            <w:pPr>
              <w:jc w:val="center"/>
            </w:pPr>
            <w:r>
              <w:rPr>
                <w:rFonts w:ascii="Calibri" w:hAnsi="Calibri"/>
                <w:color w:val="141F2B"/>
                <w:sz w:val="19"/>
              </w:rPr>
              <w:t>database/imssight_20260731_140636.sql.gz</w:t>
            </w:r>
          </w:p>
        </w:tc>
        <w:tc>
          <w:tcPr>
            <w:tcW w:type="dxa" w:w="1450"/>
          </w:tcPr>
          <w:p>
            <w:pPr>
              <w:jc w:val="center"/>
            </w:pPr>
            <w:r>
              <w:rPr>
                <w:rFonts w:ascii="Calibri" w:hAnsi="Calibri"/>
                <w:color w:val="141F2B"/>
                <w:sz w:val="19"/>
              </w:rPr>
              <w:t>3.4 MB</w:t>
            </w:r>
          </w:p>
        </w:tc>
        <w:tc>
          <w:tcPr>
            <w:tcW w:type="dxa" w:w="2660"/>
          </w:tcPr>
          <w:p>
            <w:pPr>
              <w:jc w:val="center"/>
            </w:pPr>
            <w:r>
              <w:rPr>
                <w:rFonts w:ascii="Calibri" w:hAnsi="Calibri"/>
                <w:color w:val="141F2B"/>
                <w:sz w:val="19"/>
              </w:rPr>
              <w:t>Respaldo alterno para traslado eficiente.</w:t>
            </w:r>
          </w:p>
        </w:tc>
      </w:tr>
      <w:tr>
        <w:tc>
          <w:tcPr>
            <w:tcW w:type="dxa" w:w="1850"/>
          </w:tcPr>
          <w:p>
            <w:r>
              <w:rPr>
                <w:rFonts w:ascii="Calibri" w:hAnsi="Calibri"/>
                <w:color w:val="141F2B"/>
                <w:sz w:val="19"/>
              </w:rPr>
              <w:t>Guía técnica</w:t>
            </w:r>
          </w:p>
        </w:tc>
        <w:tc>
          <w:tcPr>
            <w:tcW w:type="dxa" w:w="3400"/>
          </w:tcPr>
          <w:p>
            <w:pPr>
              <w:jc w:val="center"/>
            </w:pPr>
            <w:r>
              <w:rPr>
                <w:rFonts w:ascii="Calibri" w:hAnsi="Calibri"/>
                <w:color w:val="141F2B"/>
                <w:sz w:val="19"/>
              </w:rPr>
              <w:t>documentacion/GUIA_TECNICA_DESPLIEGUE_IMSSIGHT.md</w:t>
            </w:r>
          </w:p>
        </w:tc>
        <w:tc>
          <w:tcPr>
            <w:tcW w:type="dxa" w:w="1450"/>
          </w:tcPr>
          <w:p>
            <w:pPr>
              <w:jc w:val="center"/>
            </w:pPr>
            <w:r>
              <w:rPr>
                <w:rFonts w:ascii="Calibri" w:hAnsi="Calibri"/>
                <w:color w:val="141F2B"/>
                <w:sz w:val="19"/>
              </w:rPr>
              <w:t>17 KB</w:t>
            </w:r>
          </w:p>
        </w:tc>
        <w:tc>
          <w:tcPr>
            <w:tcW w:type="dxa" w:w="2660"/>
          </w:tcPr>
          <w:p>
            <w:pPr>
              <w:jc w:val="center"/>
            </w:pPr>
            <w:r>
              <w:rPr>
                <w:rFonts w:ascii="Calibri" w:hAnsi="Calibri"/>
                <w:color w:val="141F2B"/>
                <w:sz w:val="19"/>
              </w:rPr>
              <w:t>Referencia técnica ampliada.</w:t>
            </w:r>
          </w:p>
        </w:tc>
      </w:tr>
      <w:tr>
        <w:tc>
          <w:tcPr>
            <w:tcW w:type="dxa" w:w="1850"/>
          </w:tcPr>
          <w:p>
            <w:r>
              <w:rPr>
                <w:rFonts w:ascii="Calibri" w:hAnsi="Calibri"/>
                <w:color w:val="141F2B"/>
                <w:sz w:val="19"/>
              </w:rPr>
              <w:t>Integridad</w:t>
            </w:r>
          </w:p>
        </w:tc>
        <w:tc>
          <w:tcPr>
            <w:tcW w:type="dxa" w:w="3400"/>
          </w:tcPr>
          <w:p>
            <w:pPr>
              <w:jc w:val="center"/>
            </w:pPr>
            <w:r>
              <w:rPr>
                <w:rFonts w:ascii="Calibri" w:hAnsi="Calibri"/>
                <w:color w:val="141F2B"/>
                <w:sz w:val="19"/>
              </w:rPr>
              <w:t>CHECKSUMS_SHA256.txt</w:t>
            </w:r>
          </w:p>
        </w:tc>
        <w:tc>
          <w:tcPr>
            <w:tcW w:type="dxa" w:w="1450"/>
          </w:tcPr>
          <w:p>
            <w:pPr>
              <w:jc w:val="center"/>
            </w:pPr>
            <w:r>
              <w:rPr>
                <w:rFonts w:ascii="Calibri" w:hAnsi="Calibri"/>
                <w:color w:val="141F2B"/>
                <w:sz w:val="19"/>
              </w:rPr>
              <w:t>334 B</w:t>
            </w:r>
          </w:p>
        </w:tc>
        <w:tc>
          <w:tcPr>
            <w:tcW w:type="dxa" w:w="2660"/>
          </w:tcPr>
          <w:p>
            <w:pPr>
              <w:jc w:val="center"/>
            </w:pPr>
            <w:r>
              <w:rPr>
                <w:rFonts w:ascii="Calibri" w:hAnsi="Calibri"/>
                <w:color w:val="141F2B"/>
                <w:sz w:val="19"/>
              </w:rPr>
              <w:t>Validación criptográfica de archivos principales.</w:t>
            </w:r>
          </w:p>
        </w:tc>
      </w:tr>
      <w:tr>
        <w:tc>
          <w:tcPr>
            <w:tcW w:type="dxa" w:w="1850"/>
          </w:tcPr>
          <w:p>
            <w:r>
              <w:rPr>
                <w:rFonts w:ascii="Calibri" w:hAnsi="Calibri"/>
                <w:color w:val="141F2B"/>
                <w:sz w:val="19"/>
              </w:rPr>
              <w:t>Lectura inicial</w:t>
            </w:r>
          </w:p>
        </w:tc>
        <w:tc>
          <w:tcPr>
            <w:tcW w:type="dxa" w:w="3400"/>
          </w:tcPr>
          <w:p>
            <w:pPr>
              <w:jc w:val="center"/>
            </w:pPr>
            <w:r>
              <w:rPr>
                <w:rFonts w:ascii="Calibri" w:hAnsi="Calibri"/>
                <w:color w:val="141F2B"/>
                <w:sz w:val="19"/>
              </w:rPr>
              <w:t>README_ENTREGA.md</w:t>
            </w:r>
          </w:p>
        </w:tc>
        <w:tc>
          <w:tcPr>
            <w:tcW w:type="dxa" w:w="1450"/>
          </w:tcPr>
          <w:p>
            <w:pPr>
              <w:jc w:val="center"/>
            </w:pPr>
            <w:r>
              <w:rPr>
                <w:rFonts w:ascii="Calibri" w:hAnsi="Calibri"/>
                <w:color w:val="141F2B"/>
                <w:sz w:val="19"/>
              </w:rPr>
              <w:t>887 B</w:t>
            </w:r>
          </w:p>
        </w:tc>
        <w:tc>
          <w:tcPr>
            <w:tcW w:type="dxa" w:w="2660"/>
          </w:tcPr>
          <w:p>
            <w:pPr>
              <w:jc w:val="center"/>
            </w:pPr>
            <w:r>
              <w:rPr>
                <w:rFonts w:ascii="Calibri" w:hAnsi="Calibri"/>
                <w:color w:val="141F2B"/>
                <w:sz w:val="19"/>
              </w:rPr>
              <w:t>Orientación rápida de contenido.</w:t>
            </w:r>
          </w:p>
        </w:tc>
      </w:tr>
    </w:tbl>
    <w:p>
      <w:pPr>
        <w:spacing w:before="0" w:after="80" w:line="264" w:lineRule="auto"/>
      </w:pPr>
    </w:p>
    <w:p>
      <w:pPr>
        <w:pStyle w:val="Heading1"/>
        <w:spacing w:before="320" w:after="160"/>
      </w:pPr>
      <w:r>
        <w:rPr>
          <w:rFonts w:ascii="Calibri" w:hAnsi="Calibri"/>
          <w:b/>
          <w:color w:val="2E74B5"/>
          <w:sz w:val="32"/>
        </w:rPr>
        <w:t>3. Volumetría ejecutiva</w:t>
      </w:r>
    </w:p>
    <w:p>
      <w:pPr>
        <w:spacing w:before="0" w:after="120" w:line="264" w:lineRule="auto"/>
      </w:pPr>
      <w:r>
        <w:rPr>
          <w:rFonts w:ascii="Calibri" w:hAnsi="Calibri"/>
          <w:b w:val="0"/>
          <w:i w:val="0"/>
          <w:color w:val="141F2B"/>
          <w:sz w:val="22"/>
        </w:rPr>
        <w:t>La volumetría de esta entrega es administrativamente manejable para traslado físico, resguardo y transferencia en red institucional. La reducción principal proviene de excluir videos locales, que en el repositorio original representaban aproximadamente 6.5 GB.</w:t>
      </w:r>
    </w:p>
    <w:tbl>
      <w:tblPr>
        <w:tblStyle w:val="TableGrid"/>
        <w:tblW w:type="dxa" w:w="9360"/>
        <w:tblLook w:firstColumn="1" w:firstRow="1" w:lastColumn="0" w:lastRow="0" w:noHBand="0" w:noVBand="1" w:val="04A0"/>
        <w:tblInd w:w="120" w:type="dxa"/>
        <w:tblLayout w:type="fixed"/>
      </w:tblPr>
      <w:tblGrid>
        <w:gridCol w:w="3000"/>
        <w:gridCol w:w="1800"/>
        <w:gridCol w:w="4560"/>
      </w:tblGrid>
      <w:tr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jc w:val="center"/>
            </w:pPr>
            <w:r>
              <w:rPr>
                <w:rFonts w:ascii="Calibri" w:hAnsi="Calibri"/>
                <w:b/>
                <w:color w:val="1F4D78"/>
                <w:sz w:val="20"/>
              </w:rPr>
              <w:t>Concepto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jc w:val="center"/>
            </w:pPr>
            <w:r>
              <w:rPr>
                <w:rFonts w:ascii="Calibri" w:hAnsi="Calibri"/>
                <w:b/>
                <w:color w:val="1F4D78"/>
                <w:sz w:val="20"/>
              </w:rPr>
              <w:t>Volumen</w:t>
            </w:r>
          </w:p>
        </w:tc>
        <w:tc>
          <w:tcPr>
            <w:tcW w:type="dxa" w:w="4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jc w:val="center"/>
            </w:pPr>
            <w:r>
              <w:rPr>
                <w:rFonts w:ascii="Calibri" w:hAnsi="Calibri"/>
                <w:b/>
                <w:color w:val="1F4D78"/>
                <w:sz w:val="20"/>
              </w:rPr>
              <w:t>Lectura administrativa</w:t>
            </w:r>
          </w:p>
        </w:tc>
      </w:tr>
      <w:tr>
        <w:tc>
          <w:tcPr>
            <w:tcW w:type="dxa" w:w="3000"/>
          </w:tcPr>
          <w:p>
            <w:r>
              <w:rPr>
                <w:rFonts w:ascii="Calibri" w:hAnsi="Calibri"/>
                <w:color w:val="141F2B"/>
                <w:sz w:val="19"/>
              </w:rPr>
              <w:t>Carpeta final en Kingston</w:t>
            </w:r>
          </w:p>
        </w:tc>
        <w:tc>
          <w:tcPr>
            <w:tcW w:type="dxa" w:w="1800"/>
          </w:tcPr>
          <w:p>
            <w:pPr>
              <w:jc w:val="center"/>
            </w:pPr>
            <w:r>
              <w:rPr>
                <w:rFonts w:ascii="Calibri" w:hAnsi="Calibri"/>
                <w:color w:val="141F2B"/>
                <w:sz w:val="19"/>
              </w:rPr>
              <w:t>272 MB aprox.</w:t>
            </w:r>
          </w:p>
        </w:tc>
        <w:tc>
          <w:tcPr>
            <w:tcW w:type="dxa" w:w="4560"/>
          </w:tcPr>
          <w:p>
            <w:pPr>
              <w:jc w:val="center"/>
            </w:pPr>
            <w:r>
              <w:rPr>
                <w:rFonts w:ascii="Calibri" w:hAnsi="Calibri"/>
                <w:color w:val="141F2B"/>
                <w:sz w:val="19"/>
              </w:rPr>
              <w:t>Tamaño total para custodia y traslado.</w:t>
            </w:r>
          </w:p>
        </w:tc>
      </w:tr>
      <w:tr>
        <w:tc>
          <w:tcPr>
            <w:tcW w:type="dxa" w:w="3000"/>
          </w:tcPr>
          <w:p>
            <w:r>
              <w:rPr>
                <w:rFonts w:ascii="Calibri" w:hAnsi="Calibri"/>
                <w:color w:val="141F2B"/>
                <w:sz w:val="19"/>
              </w:rPr>
              <w:t>Paquete de código sin videos</w:t>
            </w:r>
          </w:p>
        </w:tc>
        <w:tc>
          <w:tcPr>
            <w:tcW w:type="dxa" w:w="1800"/>
          </w:tcPr>
          <w:p>
            <w:pPr>
              <w:jc w:val="center"/>
            </w:pPr>
            <w:r>
              <w:rPr>
                <w:rFonts w:ascii="Calibri" w:hAnsi="Calibri"/>
                <w:color w:val="141F2B"/>
                <w:sz w:val="19"/>
              </w:rPr>
              <w:t>212 MB</w:t>
            </w:r>
          </w:p>
        </w:tc>
        <w:tc>
          <w:tcPr>
            <w:tcW w:type="dxa" w:w="4560"/>
          </w:tcPr>
          <w:p>
            <w:pPr>
              <w:jc w:val="center"/>
            </w:pPr>
            <w:r>
              <w:rPr>
                <w:rFonts w:ascii="Calibri" w:hAnsi="Calibri"/>
                <w:color w:val="141F2B"/>
                <w:sz w:val="19"/>
              </w:rPr>
              <w:t>Unidad principal de instalación aplicativo.</w:t>
            </w:r>
          </w:p>
        </w:tc>
      </w:tr>
      <w:tr>
        <w:tc>
          <w:tcPr>
            <w:tcW w:type="dxa" w:w="3000"/>
          </w:tcPr>
          <w:p>
            <w:r>
              <w:rPr>
                <w:rFonts w:ascii="Calibri" w:hAnsi="Calibri"/>
                <w:color w:val="141F2B"/>
                <w:sz w:val="19"/>
              </w:rPr>
              <w:t>SQL sin comprimir</w:t>
            </w:r>
          </w:p>
        </w:tc>
        <w:tc>
          <w:tcPr>
            <w:tcW w:type="dxa" w:w="1800"/>
          </w:tcPr>
          <w:p>
            <w:pPr>
              <w:jc w:val="center"/>
            </w:pPr>
            <w:r>
              <w:rPr>
                <w:rFonts w:ascii="Calibri" w:hAnsi="Calibri"/>
                <w:color w:val="141F2B"/>
                <w:sz w:val="19"/>
              </w:rPr>
              <w:t>56 MB</w:t>
            </w:r>
          </w:p>
        </w:tc>
        <w:tc>
          <w:tcPr>
            <w:tcW w:type="dxa" w:w="4560"/>
          </w:tcPr>
          <w:p>
            <w:pPr>
              <w:jc w:val="center"/>
            </w:pPr>
            <w:r>
              <w:rPr>
                <w:rFonts w:ascii="Calibri" w:hAnsi="Calibri"/>
                <w:color w:val="141F2B"/>
                <w:sz w:val="19"/>
              </w:rPr>
              <w:t>Restauración transparente y auditable.</w:t>
            </w:r>
          </w:p>
        </w:tc>
      </w:tr>
      <w:tr>
        <w:tc>
          <w:tcPr>
            <w:tcW w:type="dxa" w:w="3000"/>
          </w:tcPr>
          <w:p>
            <w:r>
              <w:rPr>
                <w:rFonts w:ascii="Calibri" w:hAnsi="Calibri"/>
                <w:color w:val="141F2B"/>
                <w:sz w:val="19"/>
              </w:rPr>
              <w:t>SQL comprimido</w:t>
            </w:r>
          </w:p>
        </w:tc>
        <w:tc>
          <w:tcPr>
            <w:tcW w:type="dxa" w:w="1800"/>
          </w:tcPr>
          <w:p>
            <w:pPr>
              <w:jc w:val="center"/>
            </w:pPr>
            <w:r>
              <w:rPr>
                <w:rFonts w:ascii="Calibri" w:hAnsi="Calibri"/>
                <w:color w:val="141F2B"/>
                <w:sz w:val="19"/>
              </w:rPr>
              <w:t>3.4 MB</w:t>
            </w:r>
          </w:p>
        </w:tc>
        <w:tc>
          <w:tcPr>
            <w:tcW w:type="dxa" w:w="4560"/>
          </w:tcPr>
          <w:p>
            <w:pPr>
              <w:jc w:val="center"/>
            </w:pPr>
            <w:r>
              <w:rPr>
                <w:rFonts w:ascii="Calibri" w:hAnsi="Calibri"/>
                <w:color w:val="141F2B"/>
                <w:sz w:val="19"/>
              </w:rPr>
              <w:t>Copia práctica para respaldos o transferencia.</w:t>
            </w:r>
          </w:p>
        </w:tc>
      </w:tr>
      <w:tr>
        <w:tc>
          <w:tcPr>
            <w:tcW w:type="dxa" w:w="3000"/>
          </w:tcPr>
          <w:p>
            <w:r>
              <w:rPr>
                <w:rFonts w:ascii="Calibri" w:hAnsi="Calibri"/>
                <w:color w:val="141F2B"/>
                <w:sz w:val="19"/>
              </w:rPr>
              <w:t>Base lógica reportada por MariaDB</w:t>
            </w:r>
          </w:p>
        </w:tc>
        <w:tc>
          <w:tcPr>
            <w:tcW w:type="dxa" w:w="1800"/>
          </w:tcPr>
          <w:p>
            <w:pPr>
              <w:jc w:val="center"/>
            </w:pPr>
            <w:r>
              <w:rPr>
                <w:rFonts w:ascii="Calibri" w:hAnsi="Calibri"/>
                <w:color w:val="141F2B"/>
                <w:sz w:val="19"/>
              </w:rPr>
              <w:t>72 MB</w:t>
            </w:r>
          </w:p>
        </w:tc>
        <w:tc>
          <w:tcPr>
            <w:tcW w:type="dxa" w:w="4560"/>
          </w:tcPr>
          <w:p>
            <w:pPr>
              <w:jc w:val="center"/>
            </w:pPr>
            <w:r>
              <w:rPr>
                <w:rFonts w:ascii="Calibri" w:hAnsi="Calibri"/>
                <w:color w:val="141F2B"/>
                <w:sz w:val="19"/>
              </w:rPr>
              <w:t>Tamaño interno aproximado de datos e índices.</w:t>
            </w:r>
          </w:p>
        </w:tc>
      </w:tr>
      <w:tr>
        <w:tc>
          <w:tcPr>
            <w:tcW w:type="dxa" w:w="3000"/>
          </w:tcPr>
          <w:p>
            <w:r>
              <w:rPr>
                <w:rFonts w:ascii="Calibri" w:hAnsi="Calibri"/>
                <w:color w:val="141F2B"/>
                <w:sz w:val="19"/>
              </w:rPr>
              <w:t>Videos excluidos</w:t>
            </w:r>
          </w:p>
        </w:tc>
        <w:tc>
          <w:tcPr>
            <w:tcW w:type="dxa" w:w="1800"/>
          </w:tcPr>
          <w:p>
            <w:pPr>
              <w:jc w:val="center"/>
            </w:pPr>
            <w:r>
              <w:rPr>
                <w:rFonts w:ascii="Calibri" w:hAnsi="Calibri"/>
                <w:color w:val="141F2B"/>
                <w:sz w:val="19"/>
              </w:rPr>
              <w:t>6.5 GB</w:t>
            </w:r>
          </w:p>
        </w:tc>
        <w:tc>
          <w:tcPr>
            <w:tcW w:type="dxa" w:w="4560"/>
          </w:tcPr>
          <w:p>
            <w:pPr>
              <w:jc w:val="center"/>
            </w:pPr>
            <w:r>
              <w:rPr>
                <w:rFonts w:ascii="Calibri" w:hAnsi="Calibri"/>
                <w:color w:val="141F2B"/>
                <w:sz w:val="19"/>
              </w:rPr>
              <w:t>No forman parte del despliegue ni deben copiarse al servidor.</w:t>
            </w:r>
          </w:p>
        </w:tc>
      </w:tr>
    </w:tbl>
    <w:p>
      <w:pPr>
        <w:spacing w:before="0" w:after="80" w:line="264" w:lineRule="auto"/>
      </w:pPr>
    </w:p>
    <w:tbl>
      <w:tblPr>
        <w:tblStyle w:val="TableGrid"/>
        <w:tblW w:type="dxa" w:w="9360"/>
        <w:tblLook w:firstColumn="1" w:firstRow="1" w:lastColumn="0" w:lastRow="0" w:noHBand="0" w:noVBand="1" w:val="04A0"/>
        <w:tblInd w:w="120" w:type="dxa"/>
        <w:tblLayout w:type="fixed"/>
      </w:tblPr>
      <w:tblGrid>
        <w:gridCol w:w="4200"/>
        <w:gridCol w:w="2400"/>
        <w:gridCol w:w="2760"/>
      </w:tblGrid>
      <w:tr>
        <w:tc>
          <w:tcPr>
            <w:tcW w:type="dxa" w:w="4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jc w:val="center"/>
            </w:pPr>
            <w:r>
              <w:rPr>
                <w:rFonts w:ascii="Calibri" w:hAnsi="Calibri"/>
                <w:b/>
                <w:color w:val="1F4D78"/>
                <w:sz w:val="20"/>
              </w:rPr>
              <w:t>Objeto de base</w:t>
            </w:r>
          </w:p>
        </w:tc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jc w:val="center"/>
            </w:pPr>
            <w:r>
              <w:rPr>
                <w:rFonts w:ascii="Calibri" w:hAnsi="Calibri"/>
                <w:b/>
                <w:color w:val="1F4D78"/>
                <w:sz w:val="20"/>
              </w:rPr>
              <w:t>Filas estimadas</w:t>
            </w:r>
          </w:p>
        </w:tc>
        <w:tc>
          <w:tcPr>
            <w:tcW w:type="dxa" w:w="2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jc w:val="center"/>
            </w:pPr>
            <w:r>
              <w:rPr>
                <w:rFonts w:ascii="Calibri" w:hAnsi="Calibri"/>
                <w:b/>
                <w:color w:val="1F4D78"/>
                <w:sz w:val="20"/>
              </w:rPr>
              <w:t>Tamaño aproximado</w:t>
            </w:r>
          </w:p>
        </w:tc>
      </w:tr>
      <w:tr>
        <w:tc>
          <w:tcPr>
            <w:tcW w:type="dxa" w:w="4200"/>
          </w:tcPr>
          <w:p>
            <w:r>
              <w:rPr>
                <w:rFonts w:ascii="Calibri" w:hAnsi="Calibri"/>
                <w:color w:val="141F2B"/>
                <w:sz w:val="19"/>
              </w:rPr>
              <w:t>demanda_unidad_mensual_geo</w:t>
            </w:r>
          </w:p>
        </w:tc>
        <w:tc>
          <w:tcPr>
            <w:tcW w:type="dxa" w:w="2400"/>
          </w:tcPr>
          <w:p>
            <w:pPr>
              <w:jc w:val="center"/>
            </w:pPr>
            <w:r>
              <w:rPr>
                <w:rFonts w:ascii="Calibri" w:hAnsi="Calibri"/>
                <w:color w:val="141F2B"/>
                <w:sz w:val="19"/>
              </w:rPr>
              <w:t>281,559</w:t>
            </w:r>
          </w:p>
        </w:tc>
        <w:tc>
          <w:tcPr>
            <w:tcW w:type="dxa" w:w="2760"/>
          </w:tcPr>
          <w:p>
            <w:pPr>
              <w:jc w:val="center"/>
            </w:pPr>
            <w:r>
              <w:rPr>
                <w:rFonts w:ascii="Calibri" w:hAnsi="Calibri"/>
                <w:color w:val="141F2B"/>
                <w:sz w:val="19"/>
              </w:rPr>
              <w:t>46.58 MB</w:t>
            </w:r>
          </w:p>
        </w:tc>
      </w:tr>
      <w:tr>
        <w:tc>
          <w:tcPr>
            <w:tcW w:type="dxa" w:w="4200"/>
          </w:tcPr>
          <w:p>
            <w:r>
              <w:rPr>
                <w:rFonts w:ascii="Calibri" w:hAnsi="Calibri"/>
                <w:color w:val="141F2B"/>
                <w:sz w:val="19"/>
              </w:rPr>
              <w:t>prediccion_demanda</w:t>
            </w:r>
          </w:p>
        </w:tc>
        <w:tc>
          <w:tcPr>
            <w:tcW w:type="dxa" w:w="2400"/>
          </w:tcPr>
          <w:p>
            <w:pPr>
              <w:jc w:val="center"/>
            </w:pPr>
            <w:r>
              <w:rPr>
                <w:rFonts w:ascii="Calibri" w:hAnsi="Calibri"/>
                <w:color w:val="141F2B"/>
                <w:sz w:val="19"/>
              </w:rPr>
              <w:t>80,114</w:t>
            </w:r>
          </w:p>
        </w:tc>
        <w:tc>
          <w:tcPr>
            <w:tcW w:type="dxa" w:w="2760"/>
          </w:tcPr>
          <w:p>
            <w:pPr>
              <w:jc w:val="center"/>
            </w:pPr>
            <w:r>
              <w:rPr>
                <w:rFonts w:ascii="Calibri" w:hAnsi="Calibri"/>
                <w:color w:val="141F2B"/>
                <w:sz w:val="19"/>
              </w:rPr>
              <w:t>21.09 MB</w:t>
            </w:r>
          </w:p>
        </w:tc>
      </w:tr>
      <w:tr>
        <w:tc>
          <w:tcPr>
            <w:tcW w:type="dxa" w:w="4200"/>
          </w:tcPr>
          <w:p>
            <w:r>
              <w:rPr>
                <w:rFonts w:ascii="Calibri" w:hAnsi="Calibri"/>
                <w:color w:val="141F2B"/>
                <w:sz w:val="19"/>
              </w:rPr>
              <w:t>escenas</w:t>
            </w:r>
          </w:p>
        </w:tc>
        <w:tc>
          <w:tcPr>
            <w:tcW w:type="dxa" w:w="2400"/>
          </w:tcPr>
          <w:p>
            <w:pPr>
              <w:jc w:val="center"/>
            </w:pPr>
            <w:r>
              <w:rPr>
                <w:rFonts w:ascii="Calibri" w:hAnsi="Calibri"/>
                <w:color w:val="141F2B"/>
                <w:sz w:val="19"/>
              </w:rPr>
              <w:t>140</w:t>
            </w:r>
          </w:p>
        </w:tc>
        <w:tc>
          <w:tcPr>
            <w:tcW w:type="dxa" w:w="2760"/>
          </w:tcPr>
          <w:p>
            <w:pPr>
              <w:jc w:val="center"/>
            </w:pPr>
            <w:r>
              <w:rPr>
                <w:rFonts w:ascii="Calibri" w:hAnsi="Calibri"/>
                <w:color w:val="141F2B"/>
                <w:sz w:val="19"/>
              </w:rPr>
              <w:t>1.53 MB</w:t>
            </w:r>
          </w:p>
        </w:tc>
      </w:tr>
      <w:tr>
        <w:tc>
          <w:tcPr>
            <w:tcW w:type="dxa" w:w="4200"/>
          </w:tcPr>
          <w:p>
            <w:r>
              <w:rPr>
                <w:rFonts w:ascii="Calibri" w:hAnsi="Calibri"/>
                <w:color w:val="141F2B"/>
                <w:sz w:val="19"/>
              </w:rPr>
              <w:t>search_index</w:t>
            </w:r>
          </w:p>
        </w:tc>
        <w:tc>
          <w:tcPr>
            <w:tcW w:type="dxa" w:w="2400"/>
          </w:tcPr>
          <w:p>
            <w:pPr>
              <w:jc w:val="center"/>
            </w:pPr>
            <w:r>
              <w:rPr>
                <w:rFonts w:ascii="Calibri" w:hAnsi="Calibri"/>
                <w:color w:val="141F2B"/>
                <w:sz w:val="19"/>
              </w:rPr>
              <w:t>259</w:t>
            </w:r>
          </w:p>
        </w:tc>
        <w:tc>
          <w:tcPr>
            <w:tcW w:type="dxa" w:w="2760"/>
          </w:tcPr>
          <w:p>
            <w:pPr>
              <w:jc w:val="center"/>
            </w:pPr>
            <w:r>
              <w:rPr>
                <w:rFonts w:ascii="Calibri" w:hAnsi="Calibri"/>
                <w:color w:val="141F2B"/>
                <w:sz w:val="19"/>
              </w:rPr>
              <w:t>1.53 MB</w:t>
            </w:r>
          </w:p>
        </w:tc>
      </w:tr>
      <w:tr>
        <w:tc>
          <w:tcPr>
            <w:tcW w:type="dxa" w:w="4200"/>
          </w:tcPr>
          <w:p>
            <w:r>
              <w:rPr>
                <w:rFonts w:ascii="Calibri" w:hAnsi="Calibri"/>
                <w:color w:val="141F2B"/>
                <w:sz w:val="19"/>
              </w:rPr>
              <w:t>Objetos totales en base</w:t>
            </w:r>
          </w:p>
        </w:tc>
        <w:tc>
          <w:tcPr>
            <w:tcW w:type="dxa" w:w="2400"/>
          </w:tcPr>
          <w:p>
            <w:pPr>
              <w:jc w:val="center"/>
            </w:pPr>
            <w:r>
              <w:rPr>
                <w:rFonts w:ascii="Calibri" w:hAnsi="Calibri"/>
                <w:color w:val="141F2B"/>
                <w:sz w:val="19"/>
              </w:rPr>
              <w:t>43</w:t>
            </w:r>
          </w:p>
        </w:tc>
        <w:tc>
          <w:tcPr>
            <w:tcW w:type="dxa" w:w="2760"/>
          </w:tcPr>
          <w:p>
            <w:pPr>
              <w:jc w:val="center"/>
            </w:pPr>
            <w:r>
              <w:rPr>
                <w:rFonts w:ascii="Calibri" w:hAnsi="Calibri"/>
                <w:color w:val="141F2B"/>
                <w:sz w:val="19"/>
              </w:rPr>
              <w:t>72 MB lógicos</w:t>
            </w:r>
          </w:p>
        </w:tc>
      </w:tr>
    </w:tbl>
    <w:p>
      <w:pPr>
        <w:spacing w:before="0" w:after="80" w:line="264" w:lineRule="auto"/>
      </w:pPr>
    </w:p>
    <w:tbl>
      <w:tblPr>
        <w:tblStyle w:val="TableGrid"/>
        <w:tblW w:type="dxa" w:w="9360"/>
        <w:tblLook w:firstColumn="1" w:firstRow="1" w:lastColumn="0" w:lastRow="0" w:noHBand="0" w:noVBand="1" w:val="04A0"/>
        <w:tblInd w:w="120" w:type="dxa"/>
        <w:tblLayout w:type="fixed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r>
              <w:rPr>
                <w:rFonts w:ascii="Calibri" w:hAnsi="Calibri"/>
                <w:b/>
                <w:color w:val="1F4D78"/>
                <w:sz w:val="22"/>
              </w:rPr>
              <w:t>Implicación de capacidad</w:t>
            </w:r>
            <w:r>
              <w:br/>
            </w:r>
            <w:r>
              <w:rPr>
                <w:rFonts w:ascii="Calibri" w:hAnsi="Calibri"/>
                <w:color w:val="141F2B"/>
                <w:sz w:val="21"/>
              </w:rPr>
              <w:t>Sin videos locales, el factor crítico deja de ser almacenamiento bruto y pasa a ser la eficiencia de imágenes, documentos, consultas de base de datos y concurrencia de usuarios. Para 100,000 usuarios no simultáneos, el ancho de banda dependerá del patrón real de navegación y del aprovechamiento de caché.</w:t>
            </w:r>
          </w:p>
        </w:tc>
      </w:tr>
    </w:tbl>
    <w:p>
      <w:pPr>
        <w:spacing w:before="0" w:after="40" w:line="264" w:lineRule="auto"/>
      </w:pPr>
    </w:p>
    <w:p>
      <w:pPr>
        <w:pStyle w:val="Heading1"/>
        <w:spacing w:before="320" w:after="160"/>
      </w:pPr>
      <w:r>
        <w:rPr>
          <w:rFonts w:ascii="Calibri" w:hAnsi="Calibri"/>
          <w:b/>
          <w:color w:val="2E74B5"/>
          <w:sz w:val="32"/>
        </w:rPr>
        <w:t>4. Versiones de software de referencia</w:t>
      </w:r>
    </w:p>
    <w:tbl>
      <w:tblPr>
        <w:tblStyle w:val="TableGrid"/>
        <w:tblW w:type="dxa" w:w="9360"/>
        <w:tblLook w:firstColumn="1" w:firstRow="1" w:lastColumn="0" w:lastRow="0" w:noHBand="0" w:noVBand="1" w:val="04A0"/>
        <w:tblInd w:w="120" w:type="dxa"/>
        <w:tblLayout w:type="fixed"/>
      </w:tblPr>
      <w:tblGrid>
        <w:gridCol w:w="2500"/>
        <w:gridCol w:w="2600"/>
        <w:gridCol w:w="4260"/>
      </w:tblGrid>
      <w:t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jc w:val="center"/>
            </w:pPr>
            <w:r>
              <w:rPr>
                <w:rFonts w:ascii="Calibri" w:hAnsi="Calibri"/>
                <w:b/>
                <w:color w:val="1F4D78"/>
                <w:sz w:val="20"/>
              </w:rPr>
              <w:t>Componente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jc w:val="center"/>
            </w:pPr>
            <w:r>
              <w:rPr>
                <w:rFonts w:ascii="Calibri" w:hAnsi="Calibri"/>
                <w:b/>
                <w:color w:val="1F4D78"/>
                <w:sz w:val="20"/>
              </w:rPr>
              <w:t>Versión observada</w:t>
            </w:r>
          </w:p>
        </w:tc>
        <w:tc>
          <w:tcPr>
            <w:tcW w:type="dxa" w:w="4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jc w:val="center"/>
            </w:pPr>
            <w:r>
              <w:rPr>
                <w:rFonts w:ascii="Calibri" w:hAnsi="Calibri"/>
                <w:b/>
                <w:color w:val="1F4D78"/>
                <w:sz w:val="20"/>
              </w:rPr>
              <w:t>Uso dentro de la entrega</w:t>
            </w:r>
          </w:p>
        </w:tc>
      </w:tr>
      <w:tr>
        <w:tc>
          <w:tcPr>
            <w:tcW w:type="dxa" w:w="2500"/>
          </w:tcPr>
          <w:p>
            <w:r>
              <w:rPr>
                <w:rFonts w:ascii="Calibri" w:hAnsi="Calibri"/>
                <w:color w:val="141F2B"/>
                <w:sz w:val="19"/>
              </w:rPr>
              <w:t>PHP</w:t>
            </w:r>
          </w:p>
        </w:tc>
        <w:tc>
          <w:tcPr>
            <w:tcW w:type="dxa" w:w="2600"/>
          </w:tcPr>
          <w:p>
            <w:pPr>
              <w:jc w:val="center"/>
            </w:pPr>
            <w:r>
              <w:rPr>
                <w:rFonts w:ascii="Calibri" w:hAnsi="Calibri"/>
                <w:color w:val="141F2B"/>
                <w:sz w:val="19"/>
              </w:rPr>
              <w:t>8.2.31</w:t>
            </w:r>
          </w:p>
        </w:tc>
        <w:tc>
          <w:tcPr>
            <w:tcW w:type="dxa" w:w="4260"/>
          </w:tcPr>
          <w:p>
            <w:pPr>
              <w:jc w:val="center"/>
            </w:pPr>
            <w:r>
              <w:rPr>
                <w:rFonts w:ascii="Calibri" w:hAnsi="Calibri"/>
                <w:color w:val="141F2B"/>
                <w:sz w:val="19"/>
              </w:rPr>
              <w:t>Ejecución del backend aplicativo.</w:t>
            </w:r>
          </w:p>
        </w:tc>
      </w:tr>
      <w:tr>
        <w:tc>
          <w:tcPr>
            <w:tcW w:type="dxa" w:w="2500"/>
          </w:tcPr>
          <w:p>
            <w:r>
              <w:rPr>
                <w:rFonts w:ascii="Calibri" w:hAnsi="Calibri"/>
                <w:color w:val="141F2B"/>
                <w:sz w:val="19"/>
              </w:rPr>
              <w:t>Apache</w:t>
            </w:r>
          </w:p>
        </w:tc>
        <w:tc>
          <w:tcPr>
            <w:tcW w:type="dxa" w:w="2600"/>
          </w:tcPr>
          <w:p>
            <w:pPr>
              <w:jc w:val="center"/>
            </w:pPr>
            <w:r>
              <w:rPr>
                <w:rFonts w:ascii="Calibri" w:hAnsi="Calibri"/>
                <w:color w:val="141F2B"/>
                <w:sz w:val="19"/>
              </w:rPr>
              <w:t>2.4.67 Debian</w:t>
            </w:r>
          </w:p>
        </w:tc>
        <w:tc>
          <w:tcPr>
            <w:tcW w:type="dxa" w:w="4260"/>
          </w:tcPr>
          <w:p>
            <w:pPr>
              <w:jc w:val="center"/>
            </w:pPr>
            <w:r>
              <w:rPr>
                <w:rFonts w:ascii="Calibri" w:hAnsi="Calibri"/>
                <w:color w:val="141F2B"/>
                <w:sz w:val="19"/>
              </w:rPr>
              <w:t>Servidor web dentro del contenedor.</w:t>
            </w:r>
          </w:p>
        </w:tc>
      </w:tr>
      <w:tr>
        <w:tc>
          <w:tcPr>
            <w:tcW w:type="dxa" w:w="2500"/>
          </w:tcPr>
          <w:p>
            <w:r>
              <w:rPr>
                <w:rFonts w:ascii="Calibri" w:hAnsi="Calibri"/>
                <w:color w:val="141F2B"/>
                <w:sz w:val="19"/>
              </w:rPr>
              <w:t>MariaDB</w:t>
            </w:r>
          </w:p>
        </w:tc>
        <w:tc>
          <w:tcPr>
            <w:tcW w:type="dxa" w:w="2600"/>
          </w:tcPr>
          <w:p>
            <w:pPr>
              <w:jc w:val="center"/>
            </w:pPr>
            <w:r>
              <w:rPr>
                <w:rFonts w:ascii="Calibri" w:hAnsi="Calibri"/>
                <w:color w:val="141F2B"/>
                <w:sz w:val="19"/>
              </w:rPr>
              <w:t>10.11.17-MariaDB-ubu2204</w:t>
            </w:r>
          </w:p>
        </w:tc>
        <w:tc>
          <w:tcPr>
            <w:tcW w:type="dxa" w:w="4260"/>
          </w:tcPr>
          <w:p>
            <w:pPr>
              <w:jc w:val="center"/>
            </w:pPr>
            <w:r>
              <w:rPr>
                <w:rFonts w:ascii="Calibri" w:hAnsi="Calibri"/>
                <w:color w:val="141F2B"/>
                <w:sz w:val="19"/>
              </w:rPr>
              <w:t>Motor de base de datos.</w:t>
            </w:r>
          </w:p>
        </w:tc>
      </w:tr>
      <w:tr>
        <w:tc>
          <w:tcPr>
            <w:tcW w:type="dxa" w:w="2500"/>
          </w:tcPr>
          <w:p>
            <w:r>
              <w:rPr>
                <w:rFonts w:ascii="Calibri" w:hAnsi="Calibri"/>
                <w:color w:val="141F2B"/>
                <w:sz w:val="19"/>
              </w:rPr>
              <w:t>Imagen MariaDB</w:t>
            </w:r>
          </w:p>
        </w:tc>
        <w:tc>
          <w:tcPr>
            <w:tcW w:type="dxa" w:w="2600"/>
          </w:tcPr>
          <w:p>
            <w:pPr>
              <w:jc w:val="center"/>
            </w:pPr>
            <w:r>
              <w:rPr>
                <w:rFonts w:ascii="Calibri" w:hAnsi="Calibri"/>
                <w:color w:val="141F2B"/>
                <w:sz w:val="19"/>
              </w:rPr>
              <w:t>mariadb:10.11</w:t>
            </w:r>
          </w:p>
        </w:tc>
        <w:tc>
          <w:tcPr>
            <w:tcW w:type="dxa" w:w="4260"/>
          </w:tcPr>
          <w:p>
            <w:pPr>
              <w:jc w:val="center"/>
            </w:pPr>
            <w:r>
              <w:rPr>
                <w:rFonts w:ascii="Calibri" w:hAnsi="Calibri"/>
                <w:color w:val="141F2B"/>
                <w:sz w:val="19"/>
              </w:rPr>
              <w:t>Contenedor de base.</w:t>
            </w:r>
          </w:p>
        </w:tc>
      </w:tr>
      <w:tr>
        <w:tc>
          <w:tcPr>
            <w:tcW w:type="dxa" w:w="2500"/>
          </w:tcPr>
          <w:p>
            <w:r>
              <w:rPr>
                <w:rFonts w:ascii="Calibri" w:hAnsi="Calibri"/>
                <w:color w:val="141F2B"/>
                <w:sz w:val="19"/>
              </w:rPr>
              <w:t>Imagen web</w:t>
            </w:r>
          </w:p>
        </w:tc>
        <w:tc>
          <w:tcPr>
            <w:tcW w:type="dxa" w:w="2600"/>
          </w:tcPr>
          <w:p>
            <w:pPr>
              <w:jc w:val="center"/>
            </w:pPr>
            <w:r>
              <w:rPr>
                <w:rFonts w:ascii="Calibri" w:hAnsi="Calibri"/>
                <w:color w:val="141F2B"/>
                <w:sz w:val="19"/>
              </w:rPr>
              <w:t>php:8.2-apache</w:t>
            </w:r>
          </w:p>
        </w:tc>
        <w:tc>
          <w:tcPr>
            <w:tcW w:type="dxa" w:w="4260"/>
          </w:tcPr>
          <w:p>
            <w:pPr>
              <w:jc w:val="center"/>
            </w:pPr>
            <w:r>
              <w:rPr>
                <w:rFonts w:ascii="Calibri" w:hAnsi="Calibri"/>
                <w:color w:val="141F2B"/>
                <w:sz w:val="19"/>
              </w:rPr>
              <w:t>Base del contenedor aplicativo.</w:t>
            </w:r>
          </w:p>
        </w:tc>
      </w:tr>
      <w:tr>
        <w:tc>
          <w:tcPr>
            <w:tcW w:type="dxa" w:w="2500"/>
          </w:tcPr>
          <w:p>
            <w:r>
              <w:rPr>
                <w:rFonts w:ascii="Calibri" w:hAnsi="Calibri"/>
                <w:color w:val="141F2B"/>
                <w:sz w:val="19"/>
              </w:rPr>
              <w:t>Docker Engine</w:t>
            </w:r>
          </w:p>
        </w:tc>
        <w:tc>
          <w:tcPr>
            <w:tcW w:type="dxa" w:w="2600"/>
          </w:tcPr>
          <w:p>
            <w:pPr>
              <w:jc w:val="center"/>
            </w:pPr>
            <w:r>
              <w:rPr>
                <w:rFonts w:ascii="Calibri" w:hAnsi="Calibri"/>
                <w:color w:val="141F2B"/>
                <w:sz w:val="19"/>
              </w:rPr>
              <w:t>29.5.2</w:t>
            </w:r>
          </w:p>
        </w:tc>
        <w:tc>
          <w:tcPr>
            <w:tcW w:type="dxa" w:w="4260"/>
          </w:tcPr>
          <w:p>
            <w:pPr>
              <w:jc w:val="center"/>
            </w:pPr>
            <w:r>
              <w:rPr>
                <w:rFonts w:ascii="Calibri" w:hAnsi="Calibri"/>
                <w:color w:val="141F2B"/>
                <w:sz w:val="19"/>
              </w:rPr>
              <w:t>Motor de contenedores observado durante la preparación.</w:t>
            </w:r>
          </w:p>
        </w:tc>
      </w:tr>
      <w:tr>
        <w:tc>
          <w:tcPr>
            <w:tcW w:type="dxa" w:w="2500"/>
          </w:tcPr>
          <w:p>
            <w:r>
              <w:rPr>
                <w:rFonts w:ascii="Calibri" w:hAnsi="Calibri"/>
                <w:color w:val="141F2B"/>
                <w:sz w:val="19"/>
              </w:rPr>
              <w:t>Docker Compose</w:t>
            </w:r>
          </w:p>
        </w:tc>
        <w:tc>
          <w:tcPr>
            <w:tcW w:type="dxa" w:w="2600"/>
          </w:tcPr>
          <w:p>
            <w:pPr>
              <w:jc w:val="center"/>
            </w:pPr>
            <w:r>
              <w:rPr>
                <w:rFonts w:ascii="Calibri" w:hAnsi="Calibri"/>
                <w:color w:val="141F2B"/>
                <w:sz w:val="19"/>
              </w:rPr>
              <w:t>v5.1.3</w:t>
            </w:r>
          </w:p>
        </w:tc>
        <w:tc>
          <w:tcPr>
            <w:tcW w:type="dxa" w:w="4260"/>
          </w:tcPr>
          <w:p>
            <w:pPr>
              <w:jc w:val="center"/>
            </w:pPr>
            <w:r>
              <w:rPr>
                <w:rFonts w:ascii="Calibri" w:hAnsi="Calibri"/>
                <w:color w:val="141F2B"/>
                <w:sz w:val="19"/>
              </w:rPr>
              <w:t>Orquestación local del servicio.</w:t>
            </w:r>
          </w:p>
        </w:tc>
      </w:tr>
    </w:tbl>
    <w:p>
      <w:pPr>
        <w:spacing w:before="0" w:after="80" w:line="264" w:lineRule="auto"/>
      </w:pPr>
    </w:p>
    <w:p>
      <w:pPr>
        <w:pStyle w:val="Heading1"/>
        <w:spacing w:before="320" w:after="160"/>
      </w:pPr>
      <w:r>
        <w:rPr>
          <w:rFonts w:ascii="Calibri" w:hAnsi="Calibri"/>
          <w:b/>
          <w:color w:val="2E74B5"/>
          <w:sz w:val="32"/>
        </w:rPr>
        <w:t>5. Puntos de montaje y puertos</w:t>
      </w:r>
    </w:p>
    <w:tbl>
      <w:tblPr>
        <w:tblStyle w:val="TableGrid"/>
        <w:tblW w:type="dxa" w:w="9360"/>
        <w:tblLook w:firstColumn="1" w:firstRow="1" w:lastColumn="0" w:lastRow="0" w:noHBand="0" w:noVBand="1" w:val="04A0"/>
        <w:tblInd w:w="120" w:type="dxa"/>
        <w:tblLayout w:type="fixed"/>
      </w:tblPr>
      <w:tblGrid>
        <w:gridCol w:w="2700"/>
        <w:gridCol w:w="3300"/>
        <w:gridCol w:w="3360"/>
      </w:tblGrid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jc w:val="center"/>
            </w:pPr>
            <w:r>
              <w:rPr>
                <w:rFonts w:ascii="Calibri" w:hAnsi="Calibri"/>
                <w:b/>
                <w:color w:val="1F4D78"/>
                <w:sz w:val="20"/>
              </w:rPr>
              <w:t>Elemento</w:t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jc w:val="center"/>
            </w:pPr>
            <w:r>
              <w:rPr>
                <w:rFonts w:ascii="Calibri" w:hAnsi="Calibri"/>
                <w:b/>
                <w:color w:val="1F4D78"/>
                <w:sz w:val="20"/>
              </w:rPr>
              <w:t>Punto o valor</w:t>
            </w:r>
          </w:p>
        </w:tc>
        <w:tc>
          <w:tcPr>
            <w:tcW w:type="dxa" w:w="3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jc w:val="center"/>
            </w:pPr>
            <w:r>
              <w:rPr>
                <w:rFonts w:ascii="Calibri" w:hAnsi="Calibri"/>
                <w:b/>
                <w:color w:val="1F4D78"/>
                <w:sz w:val="20"/>
              </w:rPr>
              <w:t>Descripción</w:t>
            </w:r>
          </w:p>
        </w:tc>
      </w:tr>
      <w:tr>
        <w:tc>
          <w:tcPr>
            <w:tcW w:type="dxa" w:w="2700"/>
          </w:tcPr>
          <w:p>
            <w:r>
              <w:rPr>
                <w:rFonts w:ascii="Calibri" w:hAnsi="Calibri"/>
                <w:color w:val="141F2B"/>
                <w:sz w:val="19"/>
              </w:rPr>
              <w:t>Memoria de entrega</w:t>
            </w:r>
          </w:p>
        </w:tc>
        <w:tc>
          <w:tcPr>
            <w:tcW w:type="dxa" w:w="3300"/>
          </w:tcPr>
          <w:p>
            <w:pPr>
              <w:jc w:val="center"/>
            </w:pPr>
            <w:r>
              <w:rPr>
                <w:rFonts w:ascii="Calibri" w:hAnsi="Calibri"/>
                <w:color w:val="141F2B"/>
                <w:sz w:val="19"/>
              </w:rPr>
              <w:t>/Volumes/KINGSTON/entrega_tecnica_imssight_20260731_140636</w:t>
            </w:r>
          </w:p>
        </w:tc>
        <w:tc>
          <w:tcPr>
            <w:tcW w:type="dxa" w:w="3360"/>
          </w:tcPr>
          <w:p>
            <w:pPr>
              <w:jc w:val="center"/>
            </w:pPr>
            <w:r>
              <w:rPr>
                <w:rFonts w:ascii="Calibri" w:hAnsi="Calibri"/>
                <w:color w:val="141F2B"/>
                <w:sz w:val="19"/>
              </w:rPr>
              <w:t>Ubicación física observada en macOS.</w:t>
            </w:r>
          </w:p>
        </w:tc>
      </w:tr>
      <w:tr>
        <w:tc>
          <w:tcPr>
            <w:tcW w:type="dxa" w:w="2700"/>
          </w:tcPr>
          <w:p>
            <w:r>
              <w:rPr>
                <w:rFonts w:ascii="Calibri" w:hAnsi="Calibri"/>
                <w:color w:val="141F2B"/>
                <w:sz w:val="19"/>
              </w:rPr>
              <w:t>Código en contenedor</w:t>
            </w:r>
          </w:p>
        </w:tc>
        <w:tc>
          <w:tcPr>
            <w:tcW w:type="dxa" w:w="3300"/>
          </w:tcPr>
          <w:p>
            <w:pPr>
              <w:jc w:val="center"/>
            </w:pPr>
            <w:r>
              <w:rPr>
                <w:rFonts w:ascii="Calibri" w:hAnsi="Calibri"/>
                <w:color w:val="141F2B"/>
                <w:sz w:val="19"/>
              </w:rPr>
              <w:t>./app:/var/www/html</w:t>
            </w:r>
          </w:p>
        </w:tc>
        <w:tc>
          <w:tcPr>
            <w:tcW w:type="dxa" w:w="3360"/>
          </w:tcPr>
          <w:p>
            <w:pPr>
              <w:jc w:val="center"/>
            </w:pPr>
            <w:r>
              <w:rPr>
                <w:rFonts w:ascii="Calibri" w:hAnsi="Calibri"/>
                <w:color w:val="141F2B"/>
                <w:sz w:val="19"/>
              </w:rPr>
              <w:t>Montaje del aplicativo PHP/HTML/JS/CSS.</w:t>
            </w:r>
          </w:p>
        </w:tc>
      </w:tr>
      <w:tr>
        <w:tc>
          <w:tcPr>
            <w:tcW w:type="dxa" w:w="2700"/>
          </w:tcPr>
          <w:p>
            <w:r>
              <w:rPr>
                <w:rFonts w:ascii="Calibri" w:hAnsi="Calibri"/>
                <w:color w:val="141F2B"/>
                <w:sz w:val="19"/>
              </w:rPr>
              <w:t>Datos MariaDB</w:t>
            </w:r>
          </w:p>
        </w:tc>
        <w:tc>
          <w:tcPr>
            <w:tcW w:type="dxa" w:w="3300"/>
          </w:tcPr>
          <w:p>
            <w:pPr>
              <w:jc w:val="center"/>
            </w:pPr>
            <w:r>
              <w:rPr>
                <w:rFonts w:ascii="Calibri" w:hAnsi="Calibri"/>
                <w:color w:val="141F2B"/>
                <w:sz w:val="19"/>
              </w:rPr>
              <w:t>mariadb_data:/var/lib/mysql</w:t>
            </w:r>
          </w:p>
        </w:tc>
        <w:tc>
          <w:tcPr>
            <w:tcW w:type="dxa" w:w="3360"/>
          </w:tcPr>
          <w:p>
            <w:pPr>
              <w:jc w:val="center"/>
            </w:pPr>
            <w:r>
              <w:rPr>
                <w:rFonts w:ascii="Calibri" w:hAnsi="Calibri"/>
                <w:color w:val="141F2B"/>
                <w:sz w:val="19"/>
              </w:rPr>
              <w:t>Volumen persistente de base de datos.</w:t>
            </w:r>
          </w:p>
        </w:tc>
      </w:tr>
      <w:tr>
        <w:tc>
          <w:tcPr>
            <w:tcW w:type="dxa" w:w="2700"/>
          </w:tcPr>
          <w:p>
            <w:r>
              <w:rPr>
                <w:rFonts w:ascii="Calibri" w:hAnsi="Calibri"/>
                <w:color w:val="141F2B"/>
                <w:sz w:val="19"/>
              </w:rPr>
              <w:t>Puerto web</w:t>
            </w:r>
          </w:p>
        </w:tc>
        <w:tc>
          <w:tcPr>
            <w:tcW w:type="dxa" w:w="3300"/>
          </w:tcPr>
          <w:p>
            <w:pPr>
              <w:jc w:val="center"/>
            </w:pPr>
            <w:r>
              <w:rPr>
                <w:rFonts w:ascii="Calibri" w:hAnsi="Calibri"/>
                <w:color w:val="141F2B"/>
                <w:sz w:val="19"/>
              </w:rPr>
              <w:t>8080:80</w:t>
            </w:r>
          </w:p>
        </w:tc>
        <w:tc>
          <w:tcPr>
            <w:tcW w:type="dxa" w:w="3360"/>
          </w:tcPr>
          <w:p>
            <w:pPr>
              <w:jc w:val="center"/>
            </w:pPr>
            <w:r>
              <w:rPr>
                <w:rFonts w:ascii="Calibri" w:hAnsi="Calibri"/>
                <w:color w:val="141F2B"/>
                <w:sz w:val="19"/>
              </w:rPr>
              <w:t>Exposición HTTP del aplicativo.</w:t>
            </w:r>
          </w:p>
        </w:tc>
      </w:tr>
      <w:tr>
        <w:tc>
          <w:tcPr>
            <w:tcW w:type="dxa" w:w="2700"/>
          </w:tcPr>
          <w:p>
            <w:r>
              <w:rPr>
                <w:rFonts w:ascii="Calibri" w:hAnsi="Calibri"/>
                <w:color w:val="141F2B"/>
                <w:sz w:val="19"/>
              </w:rPr>
              <w:t>Puerto base</w:t>
            </w:r>
          </w:p>
        </w:tc>
        <w:tc>
          <w:tcPr>
            <w:tcW w:type="dxa" w:w="3300"/>
          </w:tcPr>
          <w:p>
            <w:pPr>
              <w:jc w:val="center"/>
            </w:pPr>
            <w:r>
              <w:rPr>
                <w:rFonts w:ascii="Calibri" w:hAnsi="Calibri"/>
                <w:color w:val="141F2B"/>
                <w:sz w:val="19"/>
              </w:rPr>
              <w:t>3307:3306</w:t>
            </w:r>
          </w:p>
        </w:tc>
        <w:tc>
          <w:tcPr>
            <w:tcW w:type="dxa" w:w="3360"/>
          </w:tcPr>
          <w:p>
            <w:pPr>
              <w:jc w:val="center"/>
            </w:pPr>
            <w:r>
              <w:rPr>
                <w:rFonts w:ascii="Calibri" w:hAnsi="Calibri"/>
                <w:color w:val="141F2B"/>
                <w:sz w:val="19"/>
              </w:rPr>
              <w:t>Exposición local de MariaDB.</w:t>
            </w:r>
          </w:p>
        </w:tc>
      </w:tr>
      <w:tr>
        <w:tc>
          <w:tcPr>
            <w:tcW w:type="dxa" w:w="2700"/>
          </w:tcPr>
          <w:p>
            <w:r>
              <w:rPr>
                <w:rFonts w:ascii="Calibri" w:hAnsi="Calibri"/>
                <w:color w:val="141F2B"/>
                <w:sz w:val="19"/>
              </w:rPr>
              <w:t>phpMyAdmin</w:t>
            </w:r>
          </w:p>
        </w:tc>
        <w:tc>
          <w:tcPr>
            <w:tcW w:type="dxa" w:w="3300"/>
          </w:tcPr>
          <w:p>
            <w:pPr>
              <w:jc w:val="center"/>
            </w:pPr>
            <w:r>
              <w:rPr>
                <w:rFonts w:ascii="Calibri" w:hAnsi="Calibri"/>
                <w:color w:val="141F2B"/>
                <w:sz w:val="19"/>
              </w:rPr>
              <w:t>8081:80</w:t>
            </w:r>
          </w:p>
        </w:tc>
        <w:tc>
          <w:tcPr>
            <w:tcW w:type="dxa" w:w="3360"/>
          </w:tcPr>
          <w:p>
            <w:pPr>
              <w:jc w:val="center"/>
            </w:pPr>
            <w:r>
              <w:rPr>
                <w:rFonts w:ascii="Calibri" w:hAnsi="Calibri"/>
                <w:color w:val="141F2B"/>
                <w:sz w:val="19"/>
              </w:rPr>
              <w:t>Administración auxiliar; no exponer públicamente.</w:t>
            </w:r>
          </w:p>
        </w:tc>
      </w:tr>
    </w:tbl>
    <w:p>
      <w:pPr>
        <w:spacing w:before="0" w:after="80" w:line="264" w:lineRule="auto"/>
      </w:pPr>
    </w:p>
    <w:p>
      <w:r>
        <w:br w:type="page"/>
      </w:r>
    </w:p>
    <w:p>
      <w:pPr>
        <w:pStyle w:val="Heading1"/>
        <w:spacing w:before="320" w:after="160"/>
      </w:pPr>
      <w:r>
        <w:rPr>
          <w:rFonts w:ascii="Calibri" w:hAnsi="Calibri"/>
          <w:b/>
          <w:color w:val="2E74B5"/>
          <w:sz w:val="32"/>
        </w:rPr>
        <w:t>6. Comandos mínimos de instalación</w:t>
      </w:r>
    </w:p>
    <w:p>
      <w:pPr>
        <w:spacing w:before="0" w:after="120" w:line="264" w:lineRule="auto"/>
      </w:pPr>
      <w:r>
        <w:rPr>
          <w:rFonts w:ascii="Calibri" w:hAnsi="Calibri"/>
          <w:b w:val="0"/>
          <w:i w:val="0"/>
          <w:color w:val="141F2B"/>
          <w:sz w:val="22"/>
        </w:rPr>
        <w:t>Los comandos siguientes resumen la operación esperada a partir del contenido de la memoria. Deben ejecutarse por personal técnico con permisos suficientes en el servidor de destino.</w:t>
      </w:r>
    </w:p>
    <w:tbl>
      <w:tblPr>
        <w:tblStyle w:val="TableGrid"/>
        <w:tblW w:type="dxa" w:w="9360"/>
        <w:tblLook w:firstColumn="1" w:firstRow="1" w:lastColumn="0" w:lastRow="0" w:noHBand="0" w:noVBand="1" w:val="04A0"/>
        <w:tblInd w:w="120" w:type="dxa"/>
        <w:tblLayout w:type="fixed"/>
      </w:tblPr>
      <w:tblGrid>
        <w:gridCol w:w="2600"/>
        <w:gridCol w:w="6760"/>
      </w:tblGrid>
      <w:t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jc w:val="center"/>
            </w:pPr>
            <w:r>
              <w:rPr>
                <w:rFonts w:ascii="Calibri" w:hAnsi="Calibri"/>
                <w:b/>
                <w:color w:val="1F4D78"/>
                <w:sz w:val="20"/>
              </w:rPr>
              <w:t>Actividad</w:t>
            </w:r>
          </w:p>
        </w:tc>
        <w:tc>
          <w:tcPr>
            <w:tcW w:type="dxa" w:w="6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jc w:val="center"/>
            </w:pPr>
            <w:r>
              <w:rPr>
                <w:rFonts w:ascii="Calibri" w:hAnsi="Calibri"/>
                <w:b/>
                <w:color w:val="1F4D78"/>
                <w:sz w:val="20"/>
              </w:rPr>
              <w:t>Comando</w:t>
            </w:r>
          </w:p>
        </w:tc>
      </w:tr>
      <w:tr>
        <w:tc>
          <w:tcPr>
            <w:tcW w:type="dxa" w:w="2600"/>
          </w:tcPr>
          <w:p>
            <w:pPr>
              <w:jc w:val="left"/>
            </w:pPr>
            <w:r>
              <w:rPr>
                <w:rFonts w:ascii="Calibri" w:hAnsi="Calibri"/>
                <w:color w:val="141F2B"/>
                <w:sz w:val="19"/>
              </w:rPr>
              <w:t>Preparar ruta</w:t>
            </w:r>
          </w:p>
        </w:tc>
        <w:tc>
          <w:tcPr>
            <w:tcW w:type="dxa" w:w="6760"/>
          </w:tcPr>
          <w:p>
            <w:pPr>
              <w:jc w:val="left"/>
            </w:pPr>
            <w:r>
              <w:rPr>
                <w:rFonts w:ascii="Calibri" w:hAnsi="Calibri"/>
                <w:color w:val="141F2B"/>
                <w:sz w:val="19"/>
              </w:rPr>
              <w:t>mkdir -p /opt/imssight &amp;&amp; cd /opt/imssight</w:t>
            </w:r>
          </w:p>
        </w:tc>
      </w:tr>
      <w:tr>
        <w:tc>
          <w:tcPr>
            <w:tcW w:type="dxa" w:w="2600"/>
          </w:tcPr>
          <w:p>
            <w:pPr>
              <w:jc w:val="left"/>
            </w:pPr>
            <w:r>
              <w:rPr>
                <w:rFonts w:ascii="Calibri" w:hAnsi="Calibri"/>
                <w:color w:val="141F2B"/>
                <w:sz w:val="19"/>
              </w:rPr>
              <w:t>Copiar entrega desde memoria</w:t>
            </w:r>
          </w:p>
        </w:tc>
        <w:tc>
          <w:tcPr>
            <w:tcW w:type="dxa" w:w="6760"/>
          </w:tcPr>
          <w:p>
            <w:pPr>
              <w:jc w:val="left"/>
            </w:pPr>
            <w:r>
              <w:rPr>
                <w:rFonts w:ascii="Calibri" w:hAnsi="Calibri"/>
                <w:color w:val="141F2B"/>
                <w:sz w:val="19"/>
              </w:rPr>
              <w:t>cp -R /ruta/KINGSTON/entrega_tecnica_imssight_20260731_140636 ./</w:t>
            </w:r>
          </w:p>
        </w:tc>
      </w:tr>
      <w:tr>
        <w:tc>
          <w:tcPr>
            <w:tcW w:type="dxa" w:w="2600"/>
          </w:tcPr>
          <w:p>
            <w:pPr>
              <w:jc w:val="left"/>
            </w:pPr>
            <w:r>
              <w:rPr>
                <w:rFonts w:ascii="Calibri" w:hAnsi="Calibri"/>
                <w:color w:val="141F2B"/>
                <w:sz w:val="19"/>
              </w:rPr>
              <w:t>Extraer código</w:t>
            </w:r>
          </w:p>
        </w:tc>
        <w:tc>
          <w:tcPr>
            <w:tcW w:type="dxa" w:w="6760"/>
          </w:tcPr>
          <w:p>
            <w:pPr>
              <w:jc w:val="left"/>
            </w:pPr>
            <w:r>
              <w:rPr>
                <w:rFonts w:ascii="Calibri" w:hAnsi="Calibri"/>
                <w:color w:val="141F2B"/>
                <w:sz w:val="19"/>
              </w:rPr>
              <w:t>tar -xzf entrega_tecnica_imssight_20260731_140636/codigo/</w:t>
              <w:br/>
              <w:t>imssight_codigo_sin_videos_20260731_140636.tar.gz</w:t>
            </w:r>
          </w:p>
        </w:tc>
      </w:tr>
      <w:tr>
        <w:tc>
          <w:tcPr>
            <w:tcW w:type="dxa" w:w="2600"/>
          </w:tcPr>
          <w:p>
            <w:pPr>
              <w:jc w:val="left"/>
            </w:pPr>
            <w:r>
              <w:rPr>
                <w:rFonts w:ascii="Calibri" w:hAnsi="Calibri"/>
                <w:color w:val="141F2B"/>
                <w:sz w:val="19"/>
              </w:rPr>
              <w:t>Entrar al proyecto</w:t>
            </w:r>
          </w:p>
        </w:tc>
        <w:tc>
          <w:tcPr>
            <w:tcW w:type="dxa" w:w="6760"/>
          </w:tcPr>
          <w:p>
            <w:pPr>
              <w:jc w:val="left"/>
            </w:pPr>
            <w:r>
              <w:rPr>
                <w:rFonts w:ascii="Calibri" w:hAnsi="Calibri"/>
                <w:color w:val="141F2B"/>
                <w:sz w:val="19"/>
              </w:rPr>
              <w:t>cd imssight</w:t>
            </w:r>
          </w:p>
        </w:tc>
      </w:tr>
      <w:tr>
        <w:tc>
          <w:tcPr>
            <w:tcW w:type="dxa" w:w="2600"/>
          </w:tcPr>
          <w:p>
            <w:pPr>
              <w:jc w:val="left"/>
            </w:pPr>
            <w:r>
              <w:rPr>
                <w:rFonts w:ascii="Calibri" w:hAnsi="Calibri"/>
                <w:color w:val="141F2B"/>
                <w:sz w:val="19"/>
              </w:rPr>
              <w:t>Levantar servicios</w:t>
            </w:r>
          </w:p>
        </w:tc>
        <w:tc>
          <w:tcPr>
            <w:tcW w:type="dxa" w:w="6760"/>
          </w:tcPr>
          <w:p>
            <w:pPr>
              <w:jc w:val="left"/>
            </w:pPr>
            <w:r>
              <w:rPr>
                <w:rFonts w:ascii="Calibri" w:hAnsi="Calibri"/>
                <w:color w:val="141F2B"/>
                <w:sz w:val="19"/>
              </w:rPr>
              <w:t>docker compose up -d --build</w:t>
            </w:r>
          </w:p>
        </w:tc>
      </w:tr>
      <w:tr>
        <w:tc>
          <w:tcPr>
            <w:tcW w:type="dxa" w:w="2600"/>
          </w:tcPr>
          <w:p>
            <w:pPr>
              <w:jc w:val="left"/>
            </w:pPr>
            <w:r>
              <w:rPr>
                <w:rFonts w:ascii="Calibri" w:hAnsi="Calibri"/>
                <w:color w:val="141F2B"/>
                <w:sz w:val="19"/>
              </w:rPr>
              <w:t>Restaurar base</w:t>
            </w:r>
          </w:p>
        </w:tc>
        <w:tc>
          <w:tcPr>
            <w:tcW w:type="dxa" w:w="6760"/>
          </w:tcPr>
          <w:p>
            <w:pPr>
              <w:jc w:val="left"/>
            </w:pPr>
            <w:r>
              <w:rPr>
                <w:rFonts w:ascii="Calibri" w:hAnsi="Calibri"/>
                <w:color w:val="141F2B"/>
                <w:sz w:val="19"/>
              </w:rPr>
              <w:t>docker exec -i imssight-db mariadb -uroot -p &lt; ../entrega_tecnica_imssight_20260731_140636/database/</w:t>
              <w:br/>
              <w:t>imssight_20260731_140636.sql</w:t>
            </w:r>
          </w:p>
        </w:tc>
      </w:tr>
      <w:tr>
        <w:tc>
          <w:tcPr>
            <w:tcW w:type="dxa" w:w="2600"/>
          </w:tcPr>
          <w:p>
            <w:pPr>
              <w:jc w:val="left"/>
            </w:pPr>
            <w:r>
              <w:rPr>
                <w:rFonts w:ascii="Calibri" w:hAnsi="Calibri"/>
                <w:color w:val="141F2B"/>
                <w:sz w:val="19"/>
              </w:rPr>
              <w:t>Validar contenedores</w:t>
            </w:r>
          </w:p>
        </w:tc>
        <w:tc>
          <w:tcPr>
            <w:tcW w:type="dxa" w:w="6760"/>
          </w:tcPr>
          <w:p>
            <w:pPr>
              <w:jc w:val="left"/>
            </w:pPr>
            <w:r>
              <w:rPr>
                <w:rFonts w:ascii="Calibri" w:hAnsi="Calibri"/>
                <w:color w:val="141F2B"/>
                <w:sz w:val="19"/>
              </w:rPr>
              <w:t>docker ps</w:t>
            </w:r>
          </w:p>
        </w:tc>
      </w:tr>
      <w:tr>
        <w:tc>
          <w:tcPr>
            <w:tcW w:type="dxa" w:w="2600"/>
          </w:tcPr>
          <w:p>
            <w:pPr>
              <w:jc w:val="left"/>
            </w:pPr>
            <w:r>
              <w:rPr>
                <w:rFonts w:ascii="Calibri" w:hAnsi="Calibri"/>
                <w:color w:val="141F2B"/>
                <w:sz w:val="19"/>
              </w:rPr>
              <w:t>Validar respuesta web</w:t>
            </w:r>
          </w:p>
        </w:tc>
        <w:tc>
          <w:tcPr>
            <w:tcW w:type="dxa" w:w="6760"/>
          </w:tcPr>
          <w:p>
            <w:pPr>
              <w:jc w:val="left"/>
            </w:pPr>
            <w:r>
              <w:rPr>
                <w:rFonts w:ascii="Calibri" w:hAnsi="Calibri"/>
                <w:color w:val="141F2B"/>
                <w:sz w:val="19"/>
              </w:rPr>
              <w:t>curl -I http://localhost:8080/</w:t>
            </w:r>
          </w:p>
        </w:tc>
      </w:tr>
    </w:tbl>
    <w:p>
      <w:pPr>
        <w:spacing w:before="0" w:after="80" w:line="264" w:lineRule="auto"/>
      </w:pPr>
    </w:p>
    <w:p>
      <w:pPr>
        <w:pStyle w:val="Heading1"/>
        <w:spacing w:before="320" w:after="160"/>
      </w:pPr>
      <w:r>
        <w:rPr>
          <w:rFonts w:ascii="Calibri" w:hAnsi="Calibri"/>
          <w:b/>
          <w:color w:val="2E74B5"/>
          <w:sz w:val="32"/>
        </w:rPr>
        <w:t>7. Verificación posterior</w:t>
      </w:r>
    </w:p>
    <w:p>
      <w:pPr>
        <w:pStyle w:val="ListBullet"/>
        <w:spacing w:after="120" w:line="280" w:lineRule="auto"/>
      </w:pPr>
      <w:r>
        <w:rPr>
          <w:rFonts w:ascii="Calibri" w:hAnsi="Calibri"/>
          <w:color w:val="141F2B"/>
          <w:sz w:val="22"/>
        </w:rPr>
        <w:t>Confirmar que el paquete instalado no contiene la ruta app/video.</w:t>
      </w:r>
    </w:p>
    <w:p>
      <w:pPr>
        <w:pStyle w:val="ListBullet"/>
        <w:spacing w:after="120" w:line="280" w:lineRule="auto"/>
      </w:pPr>
      <w:r>
        <w:rPr>
          <w:rFonts w:ascii="Calibri" w:hAnsi="Calibri"/>
          <w:color w:val="141F2B"/>
          <w:sz w:val="22"/>
        </w:rPr>
        <w:t>Confirmar que el contenedor web se encuentre activo y responda en el puerto 8080.</w:t>
      </w:r>
    </w:p>
    <w:p>
      <w:pPr>
        <w:pStyle w:val="ListBullet"/>
        <w:spacing w:after="120" w:line="280" w:lineRule="auto"/>
      </w:pPr>
      <w:r>
        <w:rPr>
          <w:rFonts w:ascii="Calibri" w:hAnsi="Calibri"/>
          <w:color w:val="141F2B"/>
          <w:sz w:val="22"/>
        </w:rPr>
        <w:t>Confirmar que MariaDB se encuentre activo y conserve el volumen mariadb_data.</w:t>
      </w:r>
    </w:p>
    <w:p>
      <w:pPr>
        <w:pStyle w:val="ListBullet"/>
        <w:spacing w:after="120" w:line="280" w:lineRule="auto"/>
      </w:pPr>
      <w:r>
        <w:rPr>
          <w:rFonts w:ascii="Calibri" w:hAnsi="Calibri"/>
          <w:color w:val="141F2B"/>
          <w:sz w:val="22"/>
        </w:rPr>
        <w:t>Confirmar que la base imssight fue importada con 43 objetos.</w:t>
      </w:r>
    </w:p>
    <w:p>
      <w:pPr>
        <w:pStyle w:val="ListBullet"/>
        <w:spacing w:after="120" w:line="280" w:lineRule="auto"/>
      </w:pPr>
      <w:r>
        <w:rPr>
          <w:rFonts w:ascii="Calibri" w:hAnsi="Calibri"/>
          <w:color w:val="141F2B"/>
          <w:sz w:val="22"/>
        </w:rPr>
        <w:t>Validar acceso a pantalla principal, inicio de sesión, búsqueda, muro, chat, exámenes y documentos.</w:t>
      </w:r>
    </w:p>
    <w:p>
      <w:pPr>
        <w:pStyle w:val="ListBullet"/>
        <w:spacing w:after="120" w:line="280" w:lineRule="auto"/>
      </w:pPr>
      <w:r>
        <w:rPr>
          <w:rFonts w:ascii="Calibri" w:hAnsi="Calibri"/>
          <w:color w:val="141F2B"/>
          <w:sz w:val="22"/>
        </w:rPr>
        <w:t>Validar los checksums incluidos antes de una entrega formal o resguardo institucional.</w:t>
      </w:r>
    </w:p>
    <w:p>
      <w:pPr>
        <w:pStyle w:val="Heading1"/>
        <w:spacing w:before="320" w:after="160"/>
      </w:pPr>
      <w:r>
        <w:rPr>
          <w:rFonts w:ascii="Calibri" w:hAnsi="Calibri"/>
          <w:b/>
          <w:color w:val="2E74B5"/>
          <w:sz w:val="32"/>
        </w:rPr>
        <w:t>8. Consideraciones de ancho de banda</w:t>
      </w:r>
    </w:p>
    <w:p>
      <w:pPr>
        <w:spacing w:before="0" w:after="120" w:line="264" w:lineRule="auto"/>
      </w:pPr>
      <w:r>
        <w:rPr>
          <w:rFonts w:ascii="Calibri" w:hAnsi="Calibri"/>
          <w:b w:val="0"/>
          <w:i w:val="0"/>
          <w:color w:val="141F2B"/>
          <w:sz w:val="22"/>
        </w:rPr>
        <w:t>Para una población de 100,000 usuarios no simultáneos, el comportamiento esperado dependerá de sesiones reales, frecuencia de acceso y cacheo de recursos estáticos. Al no incluir videos, una sesión típica puede mantenerse en un rango administrable, sujeto a optimización de imágenes y reutilización de caché del navegador.</w:t>
      </w:r>
    </w:p>
    <w:tbl>
      <w:tblPr>
        <w:tblStyle w:val="TableGrid"/>
        <w:tblW w:type="dxa" w:w="9360"/>
        <w:tblLook w:firstColumn="1" w:firstRow="1" w:lastColumn="0" w:lastRow="0" w:noHBand="0" w:noVBand="1" w:val="04A0"/>
        <w:tblInd w:w="120" w:type="dxa"/>
        <w:tblLayout w:type="fixed"/>
      </w:tblPr>
      <w:tblGrid>
        <w:gridCol w:w="3000"/>
        <w:gridCol w:w="2100"/>
        <w:gridCol w:w="4260"/>
      </w:tblGrid>
      <w:tr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jc w:val="center"/>
            </w:pPr>
            <w:r>
              <w:rPr>
                <w:rFonts w:ascii="Calibri" w:hAnsi="Calibri"/>
                <w:b/>
                <w:color w:val="1F4D78"/>
                <w:sz w:val="20"/>
              </w:rPr>
              <w:t>Supuesto mensual</w:t>
            </w:r>
          </w:p>
        </w:tc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jc w:val="center"/>
            </w:pPr>
            <w:r>
              <w:rPr>
                <w:rFonts w:ascii="Calibri" w:hAnsi="Calibri"/>
                <w:b/>
                <w:color w:val="1F4D78"/>
                <w:sz w:val="20"/>
              </w:rPr>
              <w:t>Estimación</w:t>
            </w:r>
          </w:p>
        </w:tc>
        <w:tc>
          <w:tcPr>
            <w:tcW w:type="dxa" w:w="4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jc w:val="center"/>
            </w:pPr>
            <w:r>
              <w:rPr>
                <w:rFonts w:ascii="Calibri" w:hAnsi="Calibri"/>
                <w:b/>
                <w:color w:val="1F4D78"/>
                <w:sz w:val="20"/>
              </w:rPr>
              <w:t>Comentario ejecutivo</w:t>
            </w:r>
          </w:p>
        </w:tc>
      </w:tr>
      <w:tr>
        <w:tc>
          <w:tcPr>
            <w:tcW w:type="dxa" w:w="3000"/>
          </w:tcPr>
          <w:p>
            <w:r>
              <w:rPr>
                <w:rFonts w:ascii="Calibri" w:hAnsi="Calibri"/>
                <w:color w:val="141F2B"/>
                <w:sz w:val="19"/>
              </w:rPr>
              <w:t>100,000 sesiones x 5 MB</w:t>
            </w:r>
          </w:p>
        </w:tc>
        <w:tc>
          <w:tcPr>
            <w:tcW w:type="dxa" w:w="2100"/>
          </w:tcPr>
          <w:p>
            <w:pPr>
              <w:jc w:val="center"/>
            </w:pPr>
            <w:r>
              <w:rPr>
                <w:rFonts w:ascii="Calibri" w:hAnsi="Calibri"/>
                <w:color w:val="141F2B"/>
                <w:sz w:val="19"/>
              </w:rPr>
              <w:t>0.5 TB/mes</w:t>
            </w:r>
          </w:p>
        </w:tc>
        <w:tc>
          <w:tcPr>
            <w:tcW w:type="dxa" w:w="4260"/>
          </w:tcPr>
          <w:p>
            <w:pPr>
              <w:jc w:val="center"/>
            </w:pPr>
            <w:r>
              <w:rPr>
                <w:rFonts w:ascii="Calibri" w:hAnsi="Calibri"/>
                <w:color w:val="141F2B"/>
                <w:sz w:val="19"/>
              </w:rPr>
              <w:t>Escenario optimizado con caché e imágenes contenidas.</w:t>
            </w:r>
          </w:p>
        </w:tc>
      </w:tr>
      <w:tr>
        <w:tc>
          <w:tcPr>
            <w:tcW w:type="dxa" w:w="3000"/>
          </w:tcPr>
          <w:p>
            <w:r>
              <w:rPr>
                <w:rFonts w:ascii="Calibri" w:hAnsi="Calibri"/>
                <w:color w:val="141F2B"/>
                <w:sz w:val="19"/>
              </w:rPr>
              <w:t>100,000 sesiones x 15 MB</w:t>
            </w:r>
          </w:p>
        </w:tc>
        <w:tc>
          <w:tcPr>
            <w:tcW w:type="dxa" w:w="2100"/>
          </w:tcPr>
          <w:p>
            <w:pPr>
              <w:jc w:val="center"/>
            </w:pPr>
            <w:r>
              <w:rPr>
                <w:rFonts w:ascii="Calibri" w:hAnsi="Calibri"/>
                <w:color w:val="141F2B"/>
                <w:sz w:val="19"/>
              </w:rPr>
              <w:t>1.5 TB/mes</w:t>
            </w:r>
          </w:p>
        </w:tc>
        <w:tc>
          <w:tcPr>
            <w:tcW w:type="dxa" w:w="4260"/>
          </w:tcPr>
          <w:p>
            <w:pPr>
              <w:jc w:val="center"/>
            </w:pPr>
            <w:r>
              <w:rPr>
                <w:rFonts w:ascii="Calibri" w:hAnsi="Calibri"/>
                <w:color w:val="141F2B"/>
                <w:sz w:val="19"/>
              </w:rPr>
              <w:t>Escenario intermedio razonable para plataforma educativa sin video local.</w:t>
            </w:r>
          </w:p>
        </w:tc>
      </w:tr>
      <w:tr>
        <w:tc>
          <w:tcPr>
            <w:tcW w:type="dxa" w:w="3000"/>
          </w:tcPr>
          <w:p>
            <w:r>
              <w:rPr>
                <w:rFonts w:ascii="Calibri" w:hAnsi="Calibri"/>
                <w:color w:val="141F2B"/>
                <w:sz w:val="19"/>
              </w:rPr>
              <w:t>100,000 sesiones x 25 MB</w:t>
            </w:r>
          </w:p>
        </w:tc>
        <w:tc>
          <w:tcPr>
            <w:tcW w:type="dxa" w:w="2100"/>
          </w:tcPr>
          <w:p>
            <w:pPr>
              <w:jc w:val="center"/>
            </w:pPr>
            <w:r>
              <w:rPr>
                <w:rFonts w:ascii="Calibri" w:hAnsi="Calibri"/>
                <w:color w:val="141F2B"/>
                <w:sz w:val="19"/>
              </w:rPr>
              <w:t>2.5 TB/mes</w:t>
            </w:r>
          </w:p>
        </w:tc>
        <w:tc>
          <w:tcPr>
            <w:tcW w:type="dxa" w:w="4260"/>
          </w:tcPr>
          <w:p>
            <w:pPr>
              <w:jc w:val="center"/>
            </w:pPr>
            <w:r>
              <w:rPr>
                <w:rFonts w:ascii="Calibri" w:hAnsi="Calibri"/>
                <w:color w:val="141F2B"/>
                <w:sz w:val="19"/>
              </w:rPr>
              <w:t>Escenario conservador por navegación amplia e imágenes pesadas.</w:t>
            </w:r>
          </w:p>
        </w:tc>
      </w:tr>
    </w:tbl>
    <w:p>
      <w:pPr>
        <w:spacing w:before="0" w:after="80" w:line="264" w:lineRule="auto"/>
      </w:pPr>
    </w:p>
    <w:tbl>
      <w:tblPr>
        <w:tblStyle w:val="TableGrid"/>
        <w:tblW w:type="dxa" w:w="9360"/>
        <w:tblLook w:firstColumn="1" w:firstRow="1" w:lastColumn="0" w:lastRow="0" w:noHBand="0" w:noVBand="1" w:val="04A0"/>
        <w:tblInd w:w="120" w:type="dxa"/>
        <w:tblLayout w:type="fixed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r>
              <w:rPr>
                <w:rFonts w:ascii="Calibri" w:hAnsi="Calibri"/>
                <w:b/>
                <w:color w:val="1F4D78"/>
                <w:sz w:val="22"/>
              </w:rPr>
              <w:t>Recomendación ejecutiva</w:t>
            </w:r>
            <w:r>
              <w:br/>
            </w:r>
            <w:r>
              <w:rPr>
                <w:rFonts w:ascii="Calibri" w:hAnsi="Calibri"/>
                <w:color w:val="141F2B"/>
                <w:sz w:val="21"/>
              </w:rPr>
              <w:t>Mantener fuera del servidor cualquier video futuro. Para preservar estabilidad institucional, los recursos pesados deben administrarse como contenido externo o mediante infraestructura de distribución especializada.</w:t>
            </w:r>
          </w:p>
        </w:tc>
      </w:tr>
    </w:tbl>
    <w:p>
      <w:pPr>
        <w:spacing w:before="0" w:after="40" w:line="264" w:lineRule="auto"/>
      </w:pPr>
    </w:p>
    <w:p>
      <w:pPr>
        <w:pStyle w:val="Heading1"/>
        <w:spacing w:before="320" w:after="160"/>
      </w:pPr>
      <w:r>
        <w:rPr>
          <w:rFonts w:ascii="Calibri" w:hAnsi="Calibri"/>
          <w:b/>
          <w:color w:val="2E74B5"/>
          <w:sz w:val="32"/>
        </w:rPr>
        <w:t>9. Criterios de aceptación</w:t>
      </w:r>
    </w:p>
    <w:p>
      <w:pPr>
        <w:pStyle w:val="ListNumber"/>
        <w:spacing w:after="120" w:line="280" w:lineRule="auto"/>
      </w:pPr>
      <w:r>
        <w:rPr>
          <w:rFonts w:ascii="Calibri" w:hAnsi="Calibri"/>
          <w:color w:val="141F2B"/>
          <w:sz w:val="22"/>
        </w:rPr>
        <w:t>La memoria contiene el paquete de código sin videos, la base SQL y la documentación asociada.</w:t>
      </w:r>
    </w:p>
    <w:p>
      <w:pPr>
        <w:pStyle w:val="ListNumber"/>
        <w:spacing w:after="120" w:line="280" w:lineRule="auto"/>
      </w:pPr>
      <w:r>
        <w:rPr>
          <w:rFonts w:ascii="Calibri" w:hAnsi="Calibri"/>
          <w:color w:val="141F2B"/>
          <w:sz w:val="22"/>
        </w:rPr>
        <w:t>El despliegue puede ejecutarse con Docker Compose a partir del contenido incluido.</w:t>
      </w:r>
    </w:p>
    <w:p>
      <w:pPr>
        <w:pStyle w:val="ListNumber"/>
        <w:spacing w:after="120" w:line="280" w:lineRule="auto"/>
      </w:pPr>
      <w:r>
        <w:rPr>
          <w:rFonts w:ascii="Calibri" w:hAnsi="Calibri"/>
          <w:color w:val="141F2B"/>
          <w:sz w:val="22"/>
        </w:rPr>
        <w:t>La base de datos se restaura sin errores y conserva los objetos reportados.</w:t>
      </w:r>
    </w:p>
    <w:p>
      <w:pPr>
        <w:pStyle w:val="ListNumber"/>
        <w:spacing w:after="120" w:line="280" w:lineRule="auto"/>
      </w:pPr>
      <w:r>
        <w:rPr>
          <w:rFonts w:ascii="Calibri" w:hAnsi="Calibri"/>
          <w:color w:val="141F2B"/>
          <w:sz w:val="22"/>
        </w:rPr>
        <w:t>El aplicativo responde por HTTP y las funciones principales son verificables.</w:t>
      </w:r>
    </w:p>
    <w:p>
      <w:pPr>
        <w:pStyle w:val="ListNumber"/>
        <w:spacing w:after="120" w:line="280" w:lineRule="auto"/>
      </w:pPr>
      <w:r>
        <w:rPr>
          <w:rFonts w:ascii="Calibri" w:hAnsi="Calibri"/>
          <w:color w:val="141F2B"/>
          <w:sz w:val="22"/>
        </w:rPr>
        <w:t>La volumetría entregada es congruente con una distribución sin videos locales.</w:t>
      </w:r>
    </w:p>
    <w:p>
      <w:pPr>
        <w:pStyle w:val="Heading1"/>
        <w:spacing w:before="320" w:after="160"/>
      </w:pPr>
      <w:r>
        <w:rPr>
          <w:rFonts w:ascii="Calibri" w:hAnsi="Calibri"/>
          <w:b/>
          <w:color w:val="2E74B5"/>
          <w:sz w:val="32"/>
        </w:rPr>
        <w:t>10. Cierre administrativo</w:t>
      </w:r>
    </w:p>
    <w:p>
      <w:pPr>
        <w:spacing w:before="0" w:after="120" w:line="264" w:lineRule="auto"/>
      </w:pPr>
      <w:r>
        <w:rPr>
          <w:rFonts w:ascii="Calibri" w:hAnsi="Calibri"/>
          <w:b w:val="0"/>
          <w:i w:val="0"/>
          <w:color w:val="141F2B"/>
          <w:sz w:val="22"/>
        </w:rPr>
        <w:t>La presente entrega debe considerarse apta para transferencia técnica controlada, revisión de coordinación y ejecución por personal de infraestructura. Su alcance queda delimitado al contenido visible en la memoria y excluye expresamente la carga de videos locales al servidor aplicativo.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  <w:r>
      <w:rPr>
        <w:rFonts w:ascii="Calibri" w:hAnsi="Calibri"/>
        <w:color w:val="595959"/>
        <w:sz w:val="18"/>
      </w:rPr>
      <w:t>Documento administrativo de soporte técnico | Entrega 20260731_140636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/>
    <w:r>
      <w:rPr>
        <w:rFonts w:ascii="Calibri" w:hAnsi="Calibri"/>
        <w:color w:val="595959"/>
        <w:sz w:val="18"/>
      </w:rPr>
      <w:t>IMSSight | Manual ejecutivo de instalación y volumetría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