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p>
    <w:p>
      <w:pPr>
        <w:spacing w:after="60"/>
        <w:jc w:val="center"/>
      </w:pPr>
      <w:r>
        <w:rPr>
          <w:rFonts w:ascii="Arial" w:cs="Arial" w:eastAsia="Arial" w:hAnsi="Arial"/>
          <w:b/>
          <w:bCs/>
          <w:caps/>
          <w:color w:val="0E7490"/>
          <w:sz w:val="22"/>
          <w:szCs w:val="22"/>
        </w:rPr>
        <w:t xml:space="preserve">TRINITY PROJECT</w:t>
      </w:r>
    </w:p>
    <w:p>
      <w:pPr>
        <w:pBdr>
          <w:bottom w:val="single" w:color="1B3A6B" w:sz="10" w:space="6"/>
        </w:pBdr>
        <w:spacing w:after="200"/>
        <w:jc w:val="center"/>
      </w:pPr>
      <w:r>
        <w:rPr>
          <w:rFonts w:ascii="Arial" w:cs="Arial" w:eastAsia="Arial" w:hAnsi="Arial"/>
          <w:b/>
          <w:bCs/>
          <w:color w:val="1B3A6B"/>
          <w:sz w:val="44"/>
          <w:szCs w:val="44"/>
        </w:rPr>
        <w:t xml:space="preserve">Network Topology Design Report</w:t>
      </w:r>
    </w:p>
    <w:p>
      <w:pPr>
        <w:spacing w:after="120"/>
      </w:pPr>
    </w:p>
    <w:p>
      <w:pPr>
        <w:spacing w:after="80"/>
        <w:jc w:val="center"/>
      </w:pPr>
      <w:r>
        <w:rPr>
          <w:rFonts w:ascii="Arial" w:cs="Arial" w:eastAsia="Arial" w:hAnsi="Arial"/>
          <w:b/>
          <w:bCs/>
          <w:color w:val="0D2240"/>
          <w:sz w:val="30"/>
          <w:szCs w:val="30"/>
        </w:rPr>
        <w:t xml:space="preserve">Wide Area Network (WAN) Configuration</w:t>
      </w:r>
    </w:p>
    <w:p>
      <w:pPr>
        <w:spacing w:after="40"/>
        <w:jc w:val="center"/>
      </w:pPr>
      <w:r>
        <w:rPr>
          <w:rFonts w:ascii="Arial" w:cs="Arial" w:eastAsia="Arial" w:hAnsi="Arial"/>
          <w:color w:val="374151"/>
          <w:sz w:val="24"/>
          <w:szCs w:val="24"/>
        </w:rPr>
        <w:t xml:space="preserve">Collins Aerospace — Enterprise Security Infrastructure</w:t>
      </w:r>
    </w:p>
    <w:p>
      <w:pPr>
        <w:spacing w:after="24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Program</w:t>
            </w:r>
          </w:p>
        </w:tc>
        <w:tc>
          <w:tcPr>
            <w:tcW w:type="dxa" w:w="3600"/>
            <w:tcBorders>
              <w:top w:val="single" w:color="1B3A6B" w:sz="1"/>
              <w:left w:val="single" w:color="1B3A6B" w:sz="1"/>
              <w:bottom w:val="single" w:color="1B3A6B" w:sz="1"/>
              <w:right w:val="single" w:color="1B3A6B" w:sz="1"/>
            </w:tcBorders>
            <w:shd w:fill="F5F6FA" w:val="clear"/>
            <w:tcMar>
              <w:top w:type="dxa" w:w="80"/>
              <w:left w:type="dxa" w:w="140"/>
              <w:bottom w:type="dxa" w:w="80"/>
              <w:right w:type="dxa" w:w="140"/>
            </w:tcMar>
          </w:tcPr>
          <w:p>
            <w:r>
              <w:rPr>
                <w:rFonts w:ascii="Arial" w:cs="Arial" w:eastAsia="Arial" w:hAnsi="Arial"/>
                <w:sz w:val="18"/>
                <w:szCs w:val="18"/>
              </w:rPr>
              <w:t xml:space="preserve">DAE Cybersecurity &amp; Networking</w:t>
            </w:r>
          </w:p>
        </w:tc>
      </w:tr>
      <w:tr>
        <w:tc>
          <w:tcPr>
            <w:tcW w:type="dxa" w:w="2400"/>
            <w:tcBorders>
              <w:top w:val="single" w:color="1B3A6B" w:sz="1"/>
              <w:left w:val="single" w:color="1B3A6B" w:sz="1"/>
              <w:bottom w:val="single" w:color="1B3A6B" w:sz="1"/>
              <w:right w:val="single" w:color="1B3A6B" w:sz="1"/>
            </w:tcBorders>
            <w:shd w:fill="2E5FA3" w:val="clear"/>
            <w:tcMar>
              <w:top w:type="dxa" w:w="80"/>
              <w:left w:type="dxa" w:w="140"/>
              <w:bottom w:type="dxa" w:w="80"/>
              <w:right w:type="dxa" w:w="140"/>
            </w:tcMar>
          </w:tcPr>
          <w:p>
            <w:r>
              <w:rPr>
                <w:rFonts w:ascii="Arial" w:cs="Arial" w:eastAsia="Arial" w:hAnsi="Arial"/>
                <w:b/>
                <w:bCs/>
                <w:color w:val="FFFFFF"/>
                <w:sz w:val="18"/>
                <w:szCs w:val="18"/>
              </w:rPr>
              <w:t xml:space="preserve">Organization</w:t>
            </w:r>
          </w:p>
        </w:tc>
        <w:tc>
          <w:tcPr>
            <w:tcW w:type="dxa" w:w="360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sz w:val="18"/>
                <w:szCs w:val="18"/>
              </w:rPr>
              <w:t xml:space="preserve">Collins Aerospace (Trinity Project Scenario)</w:t>
            </w:r>
          </w:p>
        </w:tc>
      </w:tr>
      <w:tr>
        <w:tc>
          <w:tcPr>
            <w:tcW w:type="dxa" w:w="2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Configuration</w:t>
            </w:r>
          </w:p>
        </w:tc>
        <w:tc>
          <w:tcPr>
            <w:tcW w:type="dxa" w:w="3600"/>
            <w:tcBorders>
              <w:top w:val="single" w:color="1B3A6B" w:sz="1"/>
              <w:left w:val="single" w:color="1B3A6B" w:sz="1"/>
              <w:bottom w:val="single" w:color="1B3A6B" w:sz="1"/>
              <w:right w:val="single" w:color="1B3A6B" w:sz="1"/>
            </w:tcBorders>
            <w:shd w:fill="F5F6FA" w:val="clear"/>
            <w:tcMar>
              <w:top w:type="dxa" w:w="80"/>
              <w:left w:type="dxa" w:w="140"/>
              <w:bottom w:type="dxa" w:w="80"/>
              <w:right w:type="dxa" w:w="140"/>
            </w:tcMar>
          </w:tcPr>
          <w:p>
            <w:r>
              <w:rPr>
                <w:rFonts w:ascii="Arial" w:cs="Arial" w:eastAsia="Arial" w:hAnsi="Arial"/>
                <w:sz w:val="18"/>
                <w:szCs w:val="18"/>
              </w:rPr>
              <w:t xml:space="preserve">Wide Area Network (WAN)</w:t>
            </w:r>
          </w:p>
        </w:tc>
      </w:tr>
      <w:tr>
        <w:tc>
          <w:tcPr>
            <w:tcW w:type="dxa" w:w="2400"/>
            <w:tcBorders>
              <w:top w:val="single" w:color="1B3A6B" w:sz="1"/>
              <w:left w:val="single" w:color="1B3A6B" w:sz="1"/>
              <w:bottom w:val="single" w:color="1B3A6B" w:sz="1"/>
              <w:right w:val="single" w:color="1B3A6B" w:sz="1"/>
            </w:tcBorders>
            <w:shd w:fill="2E5FA3" w:val="clear"/>
            <w:tcMar>
              <w:top w:type="dxa" w:w="80"/>
              <w:left w:type="dxa" w:w="140"/>
              <w:bottom w:type="dxa" w:w="80"/>
              <w:right w:type="dxa" w:w="140"/>
            </w:tcMar>
          </w:tcPr>
          <w:p>
            <w:r>
              <w:rPr>
                <w:rFonts w:ascii="Arial" w:cs="Arial" w:eastAsia="Arial" w:hAnsi="Arial"/>
                <w:b/>
                <w:bCs/>
                <w:color w:val="FFFFFF"/>
                <w:sz w:val="18"/>
                <w:szCs w:val="18"/>
              </w:rPr>
              <w:t xml:space="preserve">Topology Type</w:t>
            </w:r>
          </w:p>
        </w:tc>
        <w:tc>
          <w:tcPr>
            <w:tcW w:type="dxa" w:w="360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sz w:val="18"/>
                <w:szCs w:val="18"/>
              </w:rPr>
              <w:t xml:space="preserve">Hybrid Star-Mesh WAN</w:t>
            </w:r>
          </w:p>
        </w:tc>
      </w:tr>
      <w:tr>
        <w:tc>
          <w:tcPr>
            <w:tcW w:type="dxa" w:w="2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Classification</w:t>
            </w:r>
          </w:p>
        </w:tc>
        <w:tc>
          <w:tcPr>
            <w:tcW w:type="dxa" w:w="3600"/>
            <w:tcBorders>
              <w:top w:val="single" w:color="1B3A6B" w:sz="1"/>
              <w:left w:val="single" w:color="1B3A6B" w:sz="1"/>
              <w:bottom w:val="single" w:color="1B3A6B" w:sz="1"/>
              <w:right w:val="single" w:color="1B3A6B" w:sz="1"/>
            </w:tcBorders>
            <w:shd w:fill="F5F6FA" w:val="clear"/>
            <w:tcMar>
              <w:top w:type="dxa" w:w="80"/>
              <w:left w:type="dxa" w:w="140"/>
              <w:bottom w:type="dxa" w:w="80"/>
              <w:right w:type="dxa" w:w="140"/>
            </w:tcMar>
          </w:tcPr>
          <w:p>
            <w:r>
              <w:rPr>
                <w:rFonts w:ascii="Arial" w:cs="Arial" w:eastAsia="Arial" w:hAnsi="Arial"/>
                <w:sz w:val="18"/>
                <w:szCs w:val="18"/>
              </w:rPr>
              <w:t xml:space="preserve">Confidential — Internal Use Only</w:t>
            </w:r>
          </w:p>
        </w:tc>
      </w:tr>
      <w:tr>
        <w:tc>
          <w:tcPr>
            <w:tcW w:type="dxa" w:w="2400"/>
            <w:tcBorders>
              <w:top w:val="single" w:color="1B3A6B" w:sz="1"/>
              <w:left w:val="single" w:color="1B3A6B" w:sz="1"/>
              <w:bottom w:val="single" w:color="1B3A6B" w:sz="1"/>
              <w:right w:val="single" w:color="1B3A6B" w:sz="1"/>
            </w:tcBorders>
            <w:shd w:fill="2E5FA3" w:val="clear"/>
            <w:tcMar>
              <w:top w:type="dxa" w:w="80"/>
              <w:left w:type="dxa" w:w="140"/>
              <w:bottom w:type="dxa" w:w="80"/>
              <w:right w:type="dxa" w:w="140"/>
            </w:tcMar>
          </w:tcPr>
          <w:p>
            <w:r>
              <w:rPr>
                <w:rFonts w:ascii="Arial" w:cs="Arial" w:eastAsia="Arial" w:hAnsi="Arial"/>
                <w:b/>
                <w:bCs/>
                <w:color w:val="FFFFFF"/>
                <w:sz w:val="18"/>
                <w:szCs w:val="18"/>
              </w:rPr>
              <w:t xml:space="preserve">Version</w:t>
            </w:r>
          </w:p>
        </w:tc>
        <w:tc>
          <w:tcPr>
            <w:tcW w:type="dxa" w:w="360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sz w:val="18"/>
                <w:szCs w:val="18"/>
              </w:rPr>
              <w:t xml:space="preserve">1.0 — Final</w:t>
            </w:r>
          </w:p>
        </w:tc>
      </w:tr>
      <w:tr>
        <w:tc>
          <w:tcPr>
            <w:tcW w:type="dxa" w:w="2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Date</w:t>
            </w:r>
          </w:p>
        </w:tc>
        <w:tc>
          <w:tcPr>
            <w:tcW w:type="dxa" w:w="3600"/>
            <w:tcBorders>
              <w:top w:val="single" w:color="1B3A6B" w:sz="1"/>
              <w:left w:val="single" w:color="1B3A6B" w:sz="1"/>
              <w:bottom w:val="single" w:color="1B3A6B" w:sz="1"/>
              <w:right w:val="single" w:color="1B3A6B" w:sz="1"/>
            </w:tcBorders>
            <w:shd w:fill="F5F6FA" w:val="clear"/>
            <w:tcMar>
              <w:top w:type="dxa" w:w="80"/>
              <w:left w:type="dxa" w:w="140"/>
              <w:bottom w:type="dxa" w:w="80"/>
              <w:right w:type="dxa" w:w="140"/>
            </w:tcMar>
          </w:tcPr>
          <w:p>
            <w:r>
              <w:rPr>
                <w:rFonts w:ascii="Arial" w:cs="Arial" w:eastAsia="Arial" w:hAnsi="Arial"/>
                <w:sz w:val="18"/>
                <w:szCs w:val="18"/>
              </w:rPr>
              <w:t xml:space="preserve">April 2026</w:t>
            </w:r>
          </w:p>
        </w:tc>
      </w:tr>
    </w:tbl>
    <w:p>
      <w:pPr>
        <w:spacing w:after="480"/>
      </w:pPr>
    </w:p>
    <w:p>
      <w:r>
        <w:br w:type="page"/>
      </w:r>
    </w:p>
    <w:p>
      <w:pPr>
        <w:pStyle w:val="Heading1"/>
        <w:pBdr>
          <w:bottom w:val="single" w:color="1B3A6B" w:sz="8" w:space="4"/>
        </w:pBdr>
        <w:spacing w:after="160" w:before="400"/>
      </w:pPr>
      <w:r>
        <w:rPr>
          <w:rFonts w:ascii="Arial" w:cs="Arial" w:eastAsia="Arial" w:hAnsi="Arial"/>
          <w:b/>
          <w:bCs/>
          <w:color w:val="1B3A6B"/>
          <w:sz w:val="30"/>
          <w:szCs w:val="30"/>
        </w:rPr>
        <w:t xml:space="preserve">1. Executive Summary</w:t>
      </w:r>
    </w:p>
    <w:p>
      <w:pPr>
        <w:spacing w:after="120"/>
      </w:pPr>
      <w:r>
        <w:rPr>
          <w:rFonts w:ascii="Arial" w:cs="Arial" w:eastAsia="Arial" w:hAnsi="Arial"/>
          <w:sz w:val="20"/>
          <w:szCs w:val="20"/>
        </w:rPr>
        <w:t xml:space="preserve">This report documents the network topology design for Collins Aerospace as part of the Trinity Project — a comprehensive cybersecurity infrastructure initiative developed within the DAE program. Collins Aerospace, a leading provider of technologically advanced aerospace and defense systems, requires a robust, secure, and scalable network architecture to support its geographically distributed operations across manufacturing facilities, engineering centers, government partner sites, and executive offices.</w:t>
      </w:r>
    </w:p>
    <w:p>
      <w:pPr>
        <w:spacing w:after="120"/>
      </w:pPr>
    </w:p>
    <w:p>
      <w:pPr>
        <w:spacing w:after="120"/>
      </w:pPr>
      <w:r>
        <w:rPr>
          <w:rFonts w:ascii="Arial" w:cs="Arial" w:eastAsia="Arial" w:hAnsi="Arial"/>
          <w:sz w:val="20"/>
          <w:szCs w:val="20"/>
        </w:rPr>
        <w:t xml:space="preserve">This report defines and analyzes a Wide Area Network (WAN) configuration utilizing a Hybrid Star-Mesh topology. This configuration is selected as the most operationally appropriate model for an organization of Collins Aerospace's scale, regulatory posture, and threat surface. The WAN interconnects six major nodes across the continental United States, enabling secure data transmission, centralized network management, and resilient failover capability in alignment with NIST SP 800-53, CMMC 2.0, and ITAR compliance requirements.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SCOPE</w:t>
            </w:r>
          </w:p>
        </w:tc>
        <w:tc>
          <w:tcPr>
            <w:tcW w:type="dxa" w:w="7920"/>
            <w:tcBorders>
              <w:top w:val="single" w:color="1B3A6B" w:sz="1"/>
              <w:left w:val="single" w:color="1B3A6B" w:sz="1"/>
              <w:bottom w:val="single" w:color="1B3A6B" w:sz="1"/>
              <w:right w:val="single" w:color="1B3A6B" w:sz="1"/>
            </w:tcBorders>
            <w:shd w:fill="D6E4F0" w:val="clear"/>
            <w:tcMar>
              <w:top w:type="dxa" w:w="100"/>
              <w:left w:type="dxa" w:w="140"/>
              <w:bottom w:type="dxa" w:w="100"/>
              <w:right w:type="dxa" w:w="140"/>
            </w:tcMar>
          </w:tcPr>
          <w:p>
            <w:r>
              <w:rPr>
                <w:rFonts w:ascii="Arial" w:cs="Arial" w:eastAsia="Arial" w:hAnsi="Arial"/>
                <w:sz w:val="19"/>
                <w:szCs w:val="19"/>
              </w:rPr>
              <w:t xml:space="preserve">WAN topology covering 6 enterprise nodes | Hybrid Star-Mesh design | Security-first architecture | Aligned to CMMC 2.0 &amp; ITAR</w:t>
            </w:r>
          </w:p>
        </w:tc>
      </w:tr>
    </w:tbl>
    <w:p>
      <w:pPr>
        <w:spacing w:after="120"/>
      </w:pPr>
    </w:p>
    <w:p>
      <w:pPr>
        <w:spacing w:after="120"/>
      </w:pPr>
      <w:r>
        <w:rPr>
          <w:rFonts w:ascii="Arial" w:cs="Arial" w:eastAsia="Arial" w:hAnsi="Arial"/>
          <w:sz w:val="20"/>
          <w:szCs w:val="20"/>
        </w:rPr>
        <w:t xml:space="preserve">Key findings and design outcomes of this report include the establishment of a redundant, segmented WAN architecture capable of enforcing Zero Trust principles across all inter-site communications, supporting encrypted data channels for controlled unclassified information (CUI), and enabling centralized visibility through a Security Operations Center (SOC) hub model.</w:t>
      </w:r>
    </w:p>
    <w:p>
      <w:r>
        <w:br w:type="page"/>
      </w:r>
    </w:p>
    <w:p>
      <w:pPr>
        <w:pStyle w:val="Heading1"/>
        <w:pBdr>
          <w:bottom w:val="single" w:color="1B3A6B" w:sz="8" w:space="4"/>
        </w:pBdr>
        <w:spacing w:after="160" w:before="400"/>
      </w:pPr>
      <w:r>
        <w:rPr>
          <w:rFonts w:ascii="Arial" w:cs="Arial" w:eastAsia="Arial" w:hAnsi="Arial"/>
          <w:b/>
          <w:bCs/>
          <w:color w:val="1B3A6B"/>
          <w:sz w:val="30"/>
          <w:szCs w:val="30"/>
        </w:rPr>
        <w:t xml:space="preserve">2. Organizational Context — Collins Aerospace</w:t>
      </w:r>
    </w:p>
    <w:p>
      <w:pPr>
        <w:pStyle w:val="Heading2"/>
        <w:spacing w:after="120" w:before="280"/>
      </w:pPr>
      <w:r>
        <w:rPr>
          <w:rFonts w:ascii="Arial" w:cs="Arial" w:eastAsia="Arial" w:hAnsi="Arial"/>
          <w:b/>
          <w:bCs/>
          <w:color w:val="2E5FA3"/>
          <w:sz w:val="24"/>
          <w:szCs w:val="24"/>
        </w:rPr>
        <w:t xml:space="preserve">2.1 Organization Profile</w:t>
      </w:r>
    </w:p>
    <w:p>
      <w:pPr>
        <w:spacing w:after="120"/>
      </w:pPr>
      <w:r>
        <w:rPr>
          <w:rFonts w:ascii="Arial" w:cs="Arial" w:eastAsia="Arial" w:hAnsi="Arial"/>
          <w:sz w:val="20"/>
          <w:szCs w:val="20"/>
        </w:rPr>
        <w:t xml:space="preserve">Collins Aerospace is a subsidiary of RTX Corporation and one of the world's largest suppliers of aerospace and defense products and aftermarket services. The organization employs over 75,000 personnel globally and operates in highly regulated markets including commercial aviation, military avionics, space systems, and advanced sensing technologies.</w:t>
      </w:r>
    </w:p>
    <w:p>
      <w:pPr>
        <w:spacing w:after="120"/>
      </w:pPr>
    </w:p>
    <w:p>
      <w:pPr>
        <w:spacing w:after="120"/>
      </w:pPr>
      <w:r>
        <w:rPr>
          <w:rFonts w:ascii="Arial" w:cs="Arial" w:eastAsia="Arial" w:hAnsi="Arial"/>
          <w:sz w:val="20"/>
          <w:szCs w:val="20"/>
        </w:rPr>
        <w:t xml:space="preserve">From a cybersecurity and network perspective, Collins Aerospace presents a complex operational environment defined by the following characteristics:</w:t>
      </w:r>
    </w:p>
    <w:p>
      <w:pPr>
        <w:spacing w:after="120"/>
      </w:pPr>
    </w:p>
    <w:p>
      <w:pPr>
        <w:pStyle w:val="ListParagraph"/>
        <w:numPr>
          <w:ilvl w:val="0"/>
          <w:numId w:val="2"/>
        </w:numPr>
        <w:spacing w:after="80"/>
      </w:pPr>
      <w:r>
        <w:rPr>
          <w:rFonts w:ascii="Arial" w:cs="Arial" w:eastAsia="Arial" w:hAnsi="Arial"/>
          <w:sz w:val="20"/>
          <w:szCs w:val="20"/>
        </w:rPr>
        <w:t xml:space="preserve">Multi-site operations: Engineering centers, manufacturing plants, government-contract facilities, and executive headquarters are distributed across the United States and internationally.</w:t>
      </w:r>
    </w:p>
    <w:p>
      <w:pPr>
        <w:pStyle w:val="ListParagraph"/>
        <w:numPr>
          <w:ilvl w:val="0"/>
          <w:numId w:val="2"/>
        </w:numPr>
        <w:spacing w:after="80"/>
      </w:pPr>
      <w:r>
        <w:rPr>
          <w:rFonts w:ascii="Arial" w:cs="Arial" w:eastAsia="Arial" w:hAnsi="Arial"/>
          <w:sz w:val="20"/>
          <w:szCs w:val="20"/>
        </w:rPr>
        <w:t xml:space="preserve">Regulatory obligations: Compliance with International Traffic in Arms Regulations (ITAR), Export Administration Regulations (EAR), NIST SP 800-171, and the Cybersecurity Maturity Model Certification (CMMC) Level 2.</w:t>
      </w:r>
    </w:p>
    <w:p>
      <w:pPr>
        <w:pStyle w:val="ListParagraph"/>
        <w:numPr>
          <w:ilvl w:val="0"/>
          <w:numId w:val="2"/>
        </w:numPr>
        <w:spacing w:after="80"/>
      </w:pPr>
      <w:r>
        <w:rPr>
          <w:rFonts w:ascii="Arial" w:cs="Arial" w:eastAsia="Arial" w:hAnsi="Arial"/>
          <w:sz w:val="20"/>
          <w:szCs w:val="20"/>
        </w:rPr>
        <w:t xml:space="preserve">Data sensitivity: Handling of Controlled Unclassified Information (CUI), proprietary R&amp;D data, and data subject to government contract security requirements.</w:t>
      </w:r>
    </w:p>
    <w:p>
      <w:pPr>
        <w:pStyle w:val="ListParagraph"/>
        <w:numPr>
          <w:ilvl w:val="0"/>
          <w:numId w:val="2"/>
        </w:numPr>
        <w:spacing w:after="80"/>
      </w:pPr>
      <w:r>
        <w:rPr>
          <w:rFonts w:ascii="Arial" w:cs="Arial" w:eastAsia="Arial" w:hAnsi="Arial"/>
          <w:sz w:val="20"/>
          <w:szCs w:val="20"/>
        </w:rPr>
        <w:t xml:space="preserve">Threat posture: As a defense contractor, Collins Aerospace is a high-value target for advanced persistent threats (APTs), nation-state actors, and industrial espionage.</w:t>
      </w:r>
    </w:p>
    <w:p>
      <w:pPr>
        <w:spacing w:after="120"/>
      </w:pPr>
    </w:p>
    <w:p>
      <w:pPr>
        <w:pStyle w:val="Heading2"/>
        <w:spacing w:after="120" w:before="280"/>
      </w:pPr>
      <w:r>
        <w:rPr>
          <w:rFonts w:ascii="Arial" w:cs="Arial" w:eastAsia="Arial" w:hAnsi="Arial"/>
          <w:b/>
          <w:bCs/>
          <w:color w:val="2E5FA3"/>
          <w:sz w:val="24"/>
          <w:szCs w:val="24"/>
        </w:rPr>
        <w:t xml:space="preserve">2.2 Trinity Project Scenario Alignment</w:t>
      </w:r>
    </w:p>
    <w:p>
      <w:pPr>
        <w:spacing w:after="120"/>
      </w:pPr>
      <w:r>
        <w:rPr>
          <w:rFonts w:ascii="Arial" w:cs="Arial" w:eastAsia="Arial" w:hAnsi="Arial"/>
          <w:sz w:val="20"/>
          <w:szCs w:val="20"/>
        </w:rPr>
        <w:t xml:space="preserve">Within the Trinity Project design framework, the Collins Aerospace scenario establishes the need for a secure WAN that connects distributed sites while enforcing data segmentation between classified and unclassified zones, maintaining availability SLAs for manufacturing operations, and supporting centralized SOC visibility across all nodes.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DESIGN REQUIREMENT</w:t>
            </w:r>
          </w:p>
        </w:tc>
        <w:tc>
          <w:tcPr>
            <w:tcW w:type="dxa" w:w="7920"/>
            <w:tcBorders>
              <w:top w:val="single" w:color="1B3A6B" w:sz="1"/>
              <w:left w:val="single" w:color="1B3A6B" w:sz="1"/>
              <w:bottom w:val="single" w:color="1B3A6B" w:sz="1"/>
              <w:right w:val="single" w:color="1B3A6B" w:sz="1"/>
            </w:tcBorders>
            <w:shd w:fill="FEF3C7" w:val="clear"/>
            <w:tcMar>
              <w:top w:type="dxa" w:w="100"/>
              <w:left w:type="dxa" w:w="140"/>
              <w:bottom w:type="dxa" w:w="100"/>
              <w:right w:type="dxa" w:w="140"/>
            </w:tcMar>
          </w:tcPr>
          <w:p>
            <w:r>
              <w:rPr>
                <w:rFonts w:ascii="Arial" w:cs="Arial" w:eastAsia="Arial" w:hAnsi="Arial"/>
                <w:sz w:val="19"/>
                <w:szCs w:val="19"/>
              </w:rPr>
              <w:t xml:space="preserve">The WAN must support CUI data flows between engineering and government partner sites over encrypted, authenticated channels — with no single point of failure in the core routing path.</w:t>
            </w:r>
          </w:p>
        </w:tc>
      </w:tr>
    </w:tbl>
    <w:p>
      <w:pPr>
        <w:spacing w:after="120"/>
      </w:pPr>
    </w:p>
    <w:p>
      <w:pPr>
        <w:pStyle w:val="Heading2"/>
        <w:spacing w:after="120" w:before="280"/>
      </w:pPr>
      <w:r>
        <w:rPr>
          <w:rFonts w:ascii="Arial" w:cs="Arial" w:eastAsia="Arial" w:hAnsi="Arial"/>
          <w:b/>
          <w:bCs/>
          <w:color w:val="2E5FA3"/>
          <w:sz w:val="24"/>
          <w:szCs w:val="24"/>
        </w:rPr>
        <w:t xml:space="preserve">2.3 Site Inventory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400"/>
        <w:gridCol w:w="2160"/>
        <w:gridCol w:w="1800"/>
      </w:tblGrid>
      <w:tr>
        <w:tc>
          <w:tcPr>
            <w:tcW w:type="dxa" w:w="800"/>
            <w:tcBorders>
              <w:top w:val="single" w:color="1B3A6B" w:sz="1"/>
              <w:left w:val="single" w:color="1B3A6B" w:sz="1"/>
              <w:bottom w:val="single" w:color="1B3A6B" w:sz="1"/>
              <w:right w:val="single" w:color="1B3A6B" w:sz="1"/>
            </w:tcBorders>
            <w:shd w:fill="1B3A6B" w:val="clear"/>
            <w:tcMar>
              <w:top w:type="dxa" w:w="90"/>
              <w:left w:type="dxa" w:w="120"/>
              <w:bottom w:type="dxa" w:w="90"/>
              <w:right w:type="dxa" w:w="120"/>
            </w:tcMar>
          </w:tcPr>
          <w:p>
            <w:r>
              <w:rPr>
                <w:rFonts w:ascii="Arial" w:cs="Arial" w:eastAsia="Arial" w:hAnsi="Arial"/>
                <w:b/>
                <w:bCs/>
                <w:color w:val="FFFFFF"/>
                <w:sz w:val="18"/>
                <w:szCs w:val="18"/>
              </w:rPr>
              <w:t xml:space="preserve">Node</w:t>
            </w:r>
          </w:p>
        </w:tc>
        <w:tc>
          <w:tcPr>
            <w:tcW w:type="dxa" w:w="2200"/>
            <w:tcBorders>
              <w:top w:val="single" w:color="1B3A6B" w:sz="1"/>
              <w:left w:val="single" w:color="1B3A6B" w:sz="1"/>
              <w:bottom w:val="single" w:color="1B3A6B" w:sz="1"/>
              <w:right w:val="single" w:color="1B3A6B" w:sz="1"/>
            </w:tcBorders>
            <w:shd w:fill="1B3A6B" w:val="clear"/>
            <w:tcMar>
              <w:top w:type="dxa" w:w="90"/>
              <w:left w:type="dxa" w:w="120"/>
              <w:bottom w:type="dxa" w:w="90"/>
              <w:right w:type="dxa" w:w="120"/>
            </w:tcMar>
          </w:tcPr>
          <w:p>
            <w:r>
              <w:rPr>
                <w:rFonts w:ascii="Arial" w:cs="Arial" w:eastAsia="Arial" w:hAnsi="Arial"/>
                <w:b/>
                <w:bCs/>
                <w:color w:val="FFFFFF"/>
                <w:sz w:val="18"/>
                <w:szCs w:val="18"/>
              </w:rPr>
              <w:t xml:space="preserve">Site Name</w:t>
            </w:r>
          </w:p>
        </w:tc>
        <w:tc>
          <w:tcPr>
            <w:tcW w:type="dxa" w:w="2400"/>
            <w:tcBorders>
              <w:top w:val="single" w:color="1B3A6B" w:sz="1"/>
              <w:left w:val="single" w:color="1B3A6B" w:sz="1"/>
              <w:bottom w:val="single" w:color="1B3A6B" w:sz="1"/>
              <w:right w:val="single" w:color="1B3A6B" w:sz="1"/>
            </w:tcBorders>
            <w:shd w:fill="1B3A6B" w:val="clear"/>
            <w:tcMar>
              <w:top w:type="dxa" w:w="90"/>
              <w:left w:type="dxa" w:w="120"/>
              <w:bottom w:type="dxa" w:w="90"/>
              <w:right w:type="dxa" w:w="120"/>
            </w:tcMar>
          </w:tcPr>
          <w:p>
            <w:r>
              <w:rPr>
                <w:rFonts w:ascii="Arial" w:cs="Arial" w:eastAsia="Arial" w:hAnsi="Arial"/>
                <w:b/>
                <w:bCs/>
                <w:color w:val="FFFFFF"/>
                <w:sz w:val="18"/>
                <w:szCs w:val="18"/>
              </w:rPr>
              <w:t xml:space="preserve">Location</w:t>
            </w:r>
          </w:p>
        </w:tc>
        <w:tc>
          <w:tcPr>
            <w:tcW w:type="dxa" w:w="2160"/>
            <w:tcBorders>
              <w:top w:val="single" w:color="1B3A6B" w:sz="1"/>
              <w:left w:val="single" w:color="1B3A6B" w:sz="1"/>
              <w:bottom w:val="single" w:color="1B3A6B" w:sz="1"/>
              <w:right w:val="single" w:color="1B3A6B" w:sz="1"/>
            </w:tcBorders>
            <w:shd w:fill="1B3A6B" w:val="clear"/>
            <w:tcMar>
              <w:top w:type="dxa" w:w="90"/>
              <w:left w:type="dxa" w:w="120"/>
              <w:bottom w:type="dxa" w:w="90"/>
              <w:right w:type="dxa" w:w="120"/>
            </w:tcMar>
          </w:tcPr>
          <w:p>
            <w:r>
              <w:rPr>
                <w:rFonts w:ascii="Arial" w:cs="Arial" w:eastAsia="Arial" w:hAnsi="Arial"/>
                <w:b/>
                <w:bCs/>
                <w:color w:val="FFFFFF"/>
                <w:sz w:val="18"/>
                <w:szCs w:val="18"/>
              </w:rPr>
              <w:t xml:space="preserve">Function</w:t>
            </w:r>
          </w:p>
        </w:tc>
        <w:tc>
          <w:tcPr>
            <w:tcW w:type="dxa" w:w="1800"/>
            <w:tcBorders>
              <w:top w:val="single" w:color="1B3A6B" w:sz="1"/>
              <w:left w:val="single" w:color="1B3A6B" w:sz="1"/>
              <w:bottom w:val="single" w:color="1B3A6B" w:sz="1"/>
              <w:right w:val="single" w:color="1B3A6B" w:sz="1"/>
            </w:tcBorders>
            <w:shd w:fill="1B3A6B" w:val="clear"/>
            <w:tcMar>
              <w:top w:type="dxa" w:w="90"/>
              <w:left w:type="dxa" w:w="120"/>
              <w:bottom w:type="dxa" w:w="90"/>
              <w:right w:type="dxa" w:w="120"/>
            </w:tcMar>
          </w:tcPr>
          <w:p>
            <w:r>
              <w:rPr>
                <w:rFonts w:ascii="Arial" w:cs="Arial" w:eastAsia="Arial" w:hAnsi="Arial"/>
                <w:b/>
                <w:bCs/>
                <w:color w:val="FFFFFF"/>
                <w:sz w:val="18"/>
                <w:szCs w:val="18"/>
              </w:rPr>
              <w:t xml:space="preserve">Role in WAN</w:t>
            </w:r>
          </w:p>
        </w:tc>
      </w:tr>
      <w:tr>
        <w:tc>
          <w:tcPr>
            <w:tcW w:type="dxa" w:w="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N-01</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HQ / SOC Hub</w:t>
            </w:r>
          </w:p>
        </w:tc>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Windsor Locks, CT</w:t>
            </w:r>
          </w:p>
        </w:tc>
        <w:tc>
          <w:tcPr>
            <w:tcW w:type="dxa" w:w="2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Executive HQ + SOC</w:t>
            </w:r>
          </w:p>
        </w:tc>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Core Hub (Primary)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Engineering Center East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Richardson, TX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R&amp;D / Avionics Design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Spoke — Tier 1</w:t>
            </w:r>
          </w:p>
        </w:tc>
      </w:tr>
      <w:tr>
        <w:tc>
          <w:tcPr>
            <w:tcW w:type="dxa" w:w="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N-03</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Manufacturing Plant West</w:t>
            </w:r>
          </w:p>
        </w:tc>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Everett, WA</w:t>
            </w:r>
          </w:p>
        </w:tc>
        <w:tc>
          <w:tcPr>
            <w:tcW w:type="dxa" w:w="2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Avionics Manufacturing</w:t>
            </w:r>
          </w:p>
        </w:tc>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Spoke — Tier 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Government Partner Site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Arlington, VA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DoD Contract Interface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Spoke — Secure</w:t>
            </w:r>
          </w:p>
        </w:tc>
      </w:tr>
      <w:tr>
        <w:tc>
          <w:tcPr>
            <w:tcW w:type="dxa" w:w="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N-05</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MRO &amp; Aftermarket Services</w:t>
            </w:r>
          </w:p>
        </w:tc>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Miami, FL</w:t>
            </w:r>
          </w:p>
        </w:tc>
        <w:tc>
          <w:tcPr>
            <w:tcW w:type="dxa" w:w="2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Maintenance &amp; Repair</w:t>
            </w:r>
          </w:p>
        </w:tc>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Spoke — Tier 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Disaster Recovery / Backup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Cedar Rapids, 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DR / Failover Hub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Core Hub (Secondary)</w:t>
            </w:r>
          </w:p>
        </w:tc>
      </w:tr>
    </w:tbl>
    <w:p>
      <w:pPr>
        <w:spacing w:after="120"/>
      </w:pPr>
    </w:p>
    <w:p>
      <w:r>
        <w:br w:type="page"/>
      </w:r>
    </w:p>
    <w:p>
      <w:pPr>
        <w:pStyle w:val="Heading1"/>
        <w:pBdr>
          <w:bottom w:val="single" w:color="1B3A6B" w:sz="8" w:space="4"/>
        </w:pBdr>
        <w:spacing w:after="160" w:before="400"/>
      </w:pPr>
      <w:r>
        <w:rPr>
          <w:rFonts w:ascii="Arial" w:cs="Arial" w:eastAsia="Arial" w:hAnsi="Arial"/>
          <w:b/>
          <w:bCs/>
          <w:color w:val="1B3A6B"/>
          <w:sz w:val="30"/>
          <w:szCs w:val="30"/>
        </w:rPr>
        <w:t xml:space="preserve">3. Wide Area Network (WAN) — Configuration Overview</w:t>
      </w:r>
    </w:p>
    <w:p>
      <w:pPr>
        <w:pStyle w:val="Heading2"/>
        <w:spacing w:after="120" w:before="280"/>
      </w:pPr>
      <w:r>
        <w:rPr>
          <w:rFonts w:ascii="Arial" w:cs="Arial" w:eastAsia="Arial" w:hAnsi="Arial"/>
          <w:b/>
          <w:bCs/>
          <w:color w:val="2E5FA3"/>
          <w:sz w:val="24"/>
          <w:szCs w:val="24"/>
        </w:rPr>
        <w:t xml:space="preserve">3.1 Definition and Scope</w:t>
      </w:r>
    </w:p>
    <w:p>
      <w:pPr>
        <w:spacing w:after="120"/>
      </w:pPr>
      <w:r>
        <w:rPr>
          <w:rFonts w:ascii="Arial" w:cs="Arial" w:eastAsia="Arial" w:hAnsi="Arial"/>
          <w:sz w:val="20"/>
          <w:szCs w:val="20"/>
        </w:rPr>
        <w:t xml:space="preserve">A Wide Area Network (WAN) is a telecommunications network that extends across a broad geographic area, connecting multiple Local Area Networks (LANs), data centers, remote sites, and cloud resources into a unified, managed infrastructure. Unlike a LAN which is constrained to a building or campus, a WAN may span cities, states, or continents, and typically leverages carrier-grade transmission technologies including MPLS circuits, leased lines, SD-WAN overlays, and encrypted VPN tunnels.</w:t>
      </w:r>
    </w:p>
    <w:p>
      <w:pPr>
        <w:spacing w:after="120"/>
      </w:pPr>
    </w:p>
    <w:p>
      <w:pPr>
        <w:spacing w:after="120"/>
      </w:pPr>
      <w:r>
        <w:rPr>
          <w:rFonts w:ascii="Arial" w:cs="Arial" w:eastAsia="Arial" w:hAnsi="Arial"/>
          <w:sz w:val="20"/>
          <w:szCs w:val="20"/>
        </w:rPr>
        <w:t xml:space="preserve">For Collins Aerospace, the WAN represents the backbone of enterprise connectivity — enabling real-time collaboration between engineering teams, secure transmission of CUI to government partners, and centralized SOC monitoring across all operational sites.</w:t>
      </w:r>
    </w:p>
    <w:p>
      <w:pPr>
        <w:spacing w:after="120"/>
      </w:pPr>
    </w:p>
    <w:p>
      <w:pPr>
        <w:pStyle w:val="Heading2"/>
        <w:spacing w:after="120" w:before="280"/>
      </w:pPr>
      <w:r>
        <w:rPr>
          <w:rFonts w:ascii="Arial" w:cs="Arial" w:eastAsia="Arial" w:hAnsi="Arial"/>
          <w:b/>
          <w:bCs/>
          <w:color w:val="2E5FA3"/>
          <w:sz w:val="24"/>
          <w:szCs w:val="24"/>
        </w:rPr>
        <w:t xml:space="preserve">3.2 Selected Topology — Hybrid Star-Mesh WAN</w:t>
      </w:r>
    </w:p>
    <w:p>
      <w:pPr>
        <w:spacing w:after="120"/>
      </w:pPr>
      <w:r>
        <w:rPr>
          <w:rFonts w:ascii="Arial" w:cs="Arial" w:eastAsia="Arial" w:hAnsi="Arial"/>
          <w:sz w:val="20"/>
          <w:szCs w:val="20"/>
        </w:rPr>
        <w:t xml:space="preserve">The selected topology for the Collins Aerospace WAN is a Hybrid Star-Mesh design. This model combines the administrative simplicity and centralized visibility of a star topology with the redundancy and resilience of a partial mesh. The rationale for this selection is as follows:</w:t>
      </w:r>
    </w:p>
    <w:p>
      <w:pPr>
        <w:spacing w:after="120"/>
      </w:pPr>
    </w:p>
    <w:p>
      <w:pPr>
        <w:pStyle w:val="ListParagraph"/>
        <w:numPr>
          <w:ilvl w:val="0"/>
          <w:numId w:val="2"/>
        </w:numPr>
        <w:spacing w:after="80"/>
      </w:pPr>
      <w:r>
        <w:rPr>
          <w:rFonts w:ascii="Arial" w:cs="Arial" w:eastAsia="Arial" w:hAnsi="Arial"/>
          <w:sz w:val="20"/>
          <w:szCs w:val="20"/>
        </w:rPr>
        <w:t xml:space="preserve">Star topology elements: All spoke sites (N-02 through N-05) connect directly to the primary hub (N-01 — Windsor Locks HQ/SOC), enabling centralized traffic inspection, policy enforcement, and monitoring.</w:t>
      </w:r>
    </w:p>
    <w:p>
      <w:pPr>
        <w:pStyle w:val="ListParagraph"/>
        <w:numPr>
          <w:ilvl w:val="0"/>
          <w:numId w:val="2"/>
        </w:numPr>
        <w:spacing w:after="80"/>
      </w:pPr>
      <w:r>
        <w:rPr>
          <w:rFonts w:ascii="Arial" w:cs="Arial" w:eastAsia="Arial" w:hAnsi="Arial"/>
          <w:sz w:val="20"/>
          <w:szCs w:val="20"/>
        </w:rPr>
        <w:t xml:space="preserve">Mesh topology elements: The two core hub nodes (N-01 and N-06) maintain direct redundant interconnects, and Tier 1 spokes (N-02 and N-03) have direct links to both hubs for failover capability.</w:t>
      </w:r>
    </w:p>
    <w:p>
      <w:pPr>
        <w:pStyle w:val="ListParagraph"/>
        <w:numPr>
          <w:ilvl w:val="0"/>
          <w:numId w:val="2"/>
        </w:numPr>
        <w:spacing w:after="80"/>
      </w:pPr>
      <w:r>
        <w:rPr>
          <w:rFonts w:ascii="Arial" w:cs="Arial" w:eastAsia="Arial" w:hAnsi="Arial"/>
          <w:sz w:val="20"/>
          <w:szCs w:val="20"/>
        </w:rPr>
        <w:t xml:space="preserve">Hybrid advantage: The design avoids the cost and complexity of a full mesh while ensuring that no single link failure can isolate a critical site or sever SOC visibility.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TOPOLOGY RATIONALE</w:t>
            </w:r>
          </w:p>
        </w:tc>
        <w:tc>
          <w:tcPr>
            <w:tcW w:type="dxa" w:w="7920"/>
            <w:tcBorders>
              <w:top w:val="single" w:color="1B3A6B" w:sz="1"/>
              <w:left w:val="single" w:color="1B3A6B" w:sz="1"/>
              <w:bottom w:val="single" w:color="1B3A6B" w:sz="1"/>
              <w:right w:val="single" w:color="1B3A6B" w:sz="1"/>
            </w:tcBorders>
            <w:shd w:fill="DCFCE7" w:val="clear"/>
            <w:tcMar>
              <w:top w:type="dxa" w:w="100"/>
              <w:left w:type="dxa" w:w="140"/>
              <w:bottom w:type="dxa" w:w="100"/>
              <w:right w:type="dxa" w:w="140"/>
            </w:tcMar>
          </w:tcPr>
          <w:p>
            <w:r>
              <w:rPr>
                <w:rFonts w:ascii="Arial" w:cs="Arial" w:eastAsia="Arial" w:hAnsi="Arial"/>
                <w:sz w:val="19"/>
                <w:szCs w:val="19"/>
              </w:rPr>
              <w:t xml:space="preserve">Full mesh WAN for 6 nodes would require 15 dedicated circuits — operationally excessive. Hybrid Star-Mesh achieves equivalent resilience at 8 circuits with greater administrative control.</w:t>
            </w:r>
          </w:p>
        </w:tc>
      </w:tr>
    </w:tbl>
    <w:p>
      <w:pPr>
        <w:spacing w:after="120"/>
      </w:pPr>
    </w:p>
    <w:p>
      <w:pPr>
        <w:pStyle w:val="Heading2"/>
        <w:spacing w:after="120" w:before="280"/>
      </w:pPr>
      <w:r>
        <w:rPr>
          <w:rFonts w:ascii="Arial" w:cs="Arial" w:eastAsia="Arial" w:hAnsi="Arial"/>
          <w:b/>
          <w:bCs/>
          <w:color w:val="2E5FA3"/>
          <w:sz w:val="24"/>
          <w:szCs w:val="24"/>
        </w:rPr>
        <w:t xml:space="preserve">3.3 Physical and Logical Architecture</w:t>
      </w:r>
    </w:p>
    <w:p>
      <w:pPr>
        <w:spacing w:after="120"/>
      </w:pPr>
      <w:r>
        <w:rPr>
          <w:rFonts w:ascii="Arial" w:cs="Arial" w:eastAsia="Arial" w:hAnsi="Arial"/>
          <w:sz w:val="20"/>
          <w:szCs w:val="20"/>
        </w:rPr>
        <w:t xml:space="preserve">The WAN operates across two layers of infrastructure:</w:t>
      </w:r>
    </w:p>
    <w:p>
      <w:pPr>
        <w:spacing w:after="120"/>
      </w:pPr>
    </w:p>
    <w:p>
      <w:pPr>
        <w:pStyle w:val="Heading3"/>
        <w:spacing w:after="80" w:before="200"/>
      </w:pPr>
      <w:r>
        <w:rPr>
          <w:rFonts w:ascii="Arial" w:cs="Arial" w:eastAsia="Arial" w:hAnsi="Arial"/>
          <w:b/>
          <w:bCs/>
          <w:color w:val="0E7490"/>
          <w:sz w:val="22"/>
          <w:szCs w:val="22"/>
        </w:rPr>
        <w:t xml:space="preserve">Physical Layer</w:t>
      </w:r>
    </w:p>
    <w:p>
      <w:pPr>
        <w:pStyle w:val="ListParagraph"/>
        <w:numPr>
          <w:ilvl w:val="0"/>
          <w:numId w:val="2"/>
        </w:numPr>
        <w:spacing w:after="80"/>
      </w:pPr>
      <w:r>
        <w:rPr>
          <w:rFonts w:ascii="Arial" w:cs="Arial" w:eastAsia="Arial" w:hAnsi="Arial"/>
          <w:sz w:val="20"/>
          <w:szCs w:val="20"/>
        </w:rPr>
        <w:t xml:space="preserve">Primary inter-hub link: Dedicated 10 Gbps MPLS circuit between N-01 (Windsor Locks) and N-06 (Cedar Rapids) with automatic failover via secondary BGP-routed Internet VPN.</w:t>
      </w:r>
    </w:p>
    <w:p>
      <w:pPr>
        <w:pStyle w:val="ListParagraph"/>
        <w:numPr>
          <w:ilvl w:val="0"/>
          <w:numId w:val="2"/>
        </w:numPr>
        <w:spacing w:after="80"/>
      </w:pPr>
      <w:r>
        <w:rPr>
          <w:rFonts w:ascii="Arial" w:cs="Arial" w:eastAsia="Arial" w:hAnsi="Arial"/>
          <w:sz w:val="20"/>
          <w:szCs w:val="20"/>
        </w:rPr>
        <w:t xml:space="preserve">Hub-to-Tier-1 links: 1 Gbps MPLS circuits from N-01 to N-02 (Richardson) and N-03 (Everett), with redundant SD-WAN overlay paths via public Internet using AES-256 IPsec tunnels.</w:t>
      </w:r>
    </w:p>
    <w:p>
      <w:pPr>
        <w:pStyle w:val="ListParagraph"/>
        <w:numPr>
          <w:ilvl w:val="0"/>
          <w:numId w:val="2"/>
        </w:numPr>
        <w:spacing w:after="80"/>
      </w:pPr>
      <w:r>
        <w:rPr>
          <w:rFonts w:ascii="Arial" w:cs="Arial" w:eastAsia="Arial" w:hAnsi="Arial"/>
          <w:sz w:val="20"/>
          <w:szCs w:val="20"/>
        </w:rPr>
        <w:t xml:space="preserve">Hub-to-Secure Government link: Dedicated 1 Gbps private circuit to N-04 (Arlington, VA DoD partner site), isolated from general enterprise traffic through a dedicated VLAN and firewall segment.</w:t>
      </w:r>
    </w:p>
    <w:p>
      <w:pPr>
        <w:pStyle w:val="ListParagraph"/>
        <w:numPr>
          <w:ilvl w:val="0"/>
          <w:numId w:val="2"/>
        </w:numPr>
        <w:spacing w:after="80"/>
      </w:pPr>
      <w:r>
        <w:rPr>
          <w:rFonts w:ascii="Arial" w:cs="Arial" w:eastAsia="Arial" w:hAnsi="Arial"/>
          <w:sz w:val="20"/>
          <w:szCs w:val="20"/>
        </w:rPr>
        <w:t xml:space="preserve">Hub-to-Tier-2 links: SD-WAN over broadband with IPsec tunneling for N-05 (Miami MRO).</w:t>
      </w:r>
    </w:p>
    <w:p>
      <w:pPr>
        <w:spacing w:after="120"/>
      </w:pPr>
    </w:p>
    <w:p>
      <w:pPr>
        <w:pStyle w:val="Heading3"/>
        <w:spacing w:after="80" w:before="200"/>
      </w:pPr>
      <w:r>
        <w:rPr>
          <w:rFonts w:ascii="Arial" w:cs="Arial" w:eastAsia="Arial" w:hAnsi="Arial"/>
          <w:b/>
          <w:bCs/>
          <w:color w:val="0E7490"/>
          <w:sz w:val="22"/>
          <w:szCs w:val="22"/>
        </w:rPr>
        <w:t xml:space="preserve">Logical Layer</w:t>
      </w:r>
    </w:p>
    <w:p>
      <w:pPr>
        <w:pStyle w:val="ListParagraph"/>
        <w:numPr>
          <w:ilvl w:val="0"/>
          <w:numId w:val="2"/>
        </w:numPr>
        <w:spacing w:after="80"/>
      </w:pPr>
      <w:r>
        <w:rPr>
          <w:rFonts w:ascii="Arial" w:cs="Arial" w:eastAsia="Arial" w:hAnsi="Arial"/>
          <w:sz w:val="20"/>
          <w:szCs w:val="20"/>
        </w:rPr>
        <w:t xml:space="preserve">Network segmentation via VLANs: Separate VLANs for CUI data, general enterprise traffic, OT/manufacturing systems, and guest/vendor access.</w:t>
      </w:r>
    </w:p>
    <w:p>
      <w:pPr>
        <w:pStyle w:val="ListParagraph"/>
        <w:numPr>
          <w:ilvl w:val="0"/>
          <w:numId w:val="2"/>
        </w:numPr>
        <w:spacing w:after="80"/>
      </w:pPr>
      <w:r>
        <w:rPr>
          <w:rFonts w:ascii="Arial" w:cs="Arial" w:eastAsia="Arial" w:hAnsi="Arial"/>
          <w:sz w:val="20"/>
          <w:szCs w:val="20"/>
        </w:rPr>
        <w:t xml:space="preserve">Dynamic routing via OSPF and BGP: OSPF handles intra-site routing within each spoke; BGP manages inter-hub route propagation and failover.</w:t>
      </w:r>
    </w:p>
    <w:p>
      <w:pPr>
        <w:pStyle w:val="ListParagraph"/>
        <w:numPr>
          <w:ilvl w:val="0"/>
          <w:numId w:val="2"/>
        </w:numPr>
        <w:spacing w:after="80"/>
      </w:pPr>
      <w:r>
        <w:rPr>
          <w:rFonts w:ascii="Arial" w:cs="Arial" w:eastAsia="Arial" w:hAnsi="Arial"/>
          <w:sz w:val="20"/>
          <w:szCs w:val="20"/>
        </w:rPr>
        <w:t xml:space="preserve">SD-WAN controller at N-01: Centralized SD-WAN orchestration providing path selection, QoS enforcement, and application-aware routing.</w:t>
      </w:r>
    </w:p>
    <w:p>
      <w:pPr>
        <w:spacing w:after="120"/>
      </w:pPr>
    </w:p>
    <w:p>
      <w:r>
        <w:br w:type="page"/>
      </w:r>
    </w:p>
    <w:p>
      <w:pPr>
        <w:pStyle w:val="Heading1"/>
        <w:pBdr>
          <w:bottom w:val="single" w:color="1B3A6B" w:sz="8" w:space="4"/>
        </w:pBdr>
        <w:spacing w:after="160" w:before="400"/>
      </w:pPr>
      <w:r>
        <w:rPr>
          <w:rFonts w:ascii="Arial" w:cs="Arial" w:eastAsia="Arial" w:hAnsi="Arial"/>
          <w:b/>
          <w:bCs/>
          <w:color w:val="1B3A6B"/>
          <w:sz w:val="30"/>
          <w:szCs w:val="30"/>
        </w:rPr>
        <w:t xml:space="preserve">4. Network Topology Diagram</w:t>
      </w:r>
    </w:p>
    <w:p>
      <w:pPr>
        <w:pStyle w:val="Heading2"/>
        <w:spacing w:after="120" w:before="280"/>
      </w:pPr>
      <w:r>
        <w:rPr>
          <w:rFonts w:ascii="Arial" w:cs="Arial" w:eastAsia="Arial" w:hAnsi="Arial"/>
          <w:b/>
          <w:bCs/>
          <w:color w:val="2E5FA3"/>
          <w:sz w:val="24"/>
          <w:szCs w:val="24"/>
        </w:rPr>
        <w:t xml:space="preserve">4.1 Topology Visualization</w:t>
      </w:r>
    </w:p>
    <w:p>
      <w:pPr>
        <w:spacing w:after="120"/>
      </w:pPr>
      <w:r>
        <w:rPr>
          <w:rFonts w:ascii="Arial" w:cs="Arial" w:eastAsia="Arial" w:hAnsi="Arial"/>
          <w:sz w:val="20"/>
          <w:szCs w:val="20"/>
        </w:rPr>
        <w:t xml:space="preserve">The diagram below represents the Collins Aerospace Hybrid Star-Mesh WAN. Node N-01 (Windsor Locks HQ/SOC) serves as the primary hub, with N-06 (Cedar Rapids DR) as the secondary hub. Tier 1 and Tier 2 spokes radiate outward, with redundant inter-hub meshing for resilience.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0A1628" w:val="clear"/>
            <w:tcMar>
              <w:top w:type="dxa" w:w="200"/>
              <w:left w:type="dxa" w:w="280"/>
              <w:bottom w:type="dxa" w:w="200"/>
              <w:right w:type="dxa" w:w="280"/>
            </w:tcMar>
          </w:tcPr>
          <w:p>
            <w:pPr>
              <w:spacing w:after="20"/>
            </w:pPr>
            <w:r>
              <w:rPr>
                <w:rFonts w:ascii="Courier New" w:cs="Courier New" w:eastAsia="Courier New" w:hAnsi="Courier New"/>
                <w:color w:val="00FF9F"/>
                <w:sz w:val="16"/>
                <w:szCs w:val="16"/>
              </w:rPr>
              <w:t xml:space="preserve">              [N-02 Engineering — Richardson, TX]</w:t>
            </w:r>
          </w:p>
          <w:p>
            <w:pPr>
              <w:spacing w:after="20"/>
            </w:pPr>
            <w:r>
              <w:rPr>
                <w:rFonts w:ascii="Courier New" w:cs="Courier New" w:eastAsia="Courier New" w:hAnsi="Courier New"/>
                <w:color w:val="00FF9F"/>
                <w:sz w:val="16"/>
                <w:szCs w:val="16"/>
              </w:rPr>
              <w:t xml:space="preserve">                        |  1Gbps MPLS</w:t>
            </w:r>
          </w:p>
          <w:p>
            <w:pPr>
              <w:spacing w:after="20"/>
            </w:pPr>
            <w:r>
              <w:rPr>
                <w:rFonts w:ascii="Courier New" w:cs="Courier New" w:eastAsia="Courier New" w:hAnsi="Courier New"/>
                <w:color w:val="00FF9F"/>
                <w:sz w:val="16"/>
                <w:szCs w:val="16"/>
              </w:rPr>
              <w:t xml:space="preserve">                        |</w:t>
            </w:r>
          </w:p>
          <w:p>
            <w:pPr>
              <w:spacing w:after="20"/>
            </w:pPr>
            <w:r>
              <w:rPr>
                <w:rFonts w:ascii="Courier New" w:cs="Courier New" w:eastAsia="Courier New" w:hAnsi="Courier New"/>
                <w:color w:val="00FF9F"/>
                <w:sz w:val="16"/>
                <w:szCs w:val="16"/>
              </w:rPr>
              <w:t xml:space="preserve">  [N-03 Manufacturing — Everett, WA]</w:t>
            </w:r>
          </w:p>
          <w:p>
            <w:pPr>
              <w:spacing w:after="20"/>
            </w:pPr>
            <w:r>
              <w:rPr>
                <w:rFonts w:ascii="Courier New" w:cs="Courier New" w:eastAsia="Courier New" w:hAnsi="Courier New"/>
                <w:color w:val="00FF9F"/>
                <w:sz w:val="16"/>
                <w:szCs w:val="16"/>
              </w:rPr>
              <w:t xml:space="preserve">        |  1Gbps MPLS  |</w:t>
            </w:r>
          </w:p>
          <w:p>
            <w:pPr>
              <w:spacing w:after="20"/>
            </w:pPr>
            <w:r>
              <w:rPr>
                <w:rFonts w:ascii="Courier New" w:cs="Courier New" w:eastAsia="Courier New" w:hAnsi="Courier New"/>
                <w:color w:val="00FF9F"/>
                <w:sz w:val="16"/>
                <w:szCs w:val="16"/>
              </w:rPr>
              <w:t xml:space="preserve">        |              |</w:t>
            </w:r>
          </w:p>
          <w:p>
            <w:pPr>
              <w:spacing w:after="20"/>
            </w:pPr>
            <w:r>
              <w:rPr>
                <w:rFonts w:ascii="Courier New" w:cs="Courier New" w:eastAsia="Courier New" w:hAnsi="Courier New"/>
                <w:color w:val="00FF9F"/>
                <w:sz w:val="16"/>
                <w:szCs w:val="16"/>
              </w:rPr>
              <w:t xml:space="preserve">        +——————&gt;  [N-01  HQ / SOC HUB  — Windsor Locks, CT]  &lt;——+</w:t>
            </w:r>
          </w:p>
          <w:p>
            <w:pPr>
              <w:spacing w:after="20"/>
            </w:pPr>
            <w:r>
              <w:rPr>
                <w:rFonts w:ascii="Courier New" w:cs="Courier New" w:eastAsia="Courier New" w:hAnsi="Courier New"/>
                <w:color w:val="00FF9F"/>
                <w:sz w:val="16"/>
                <w:szCs w:val="16"/>
              </w:rPr>
              <w:t xml:space="preserve">                  (Primary Core)          |                       |</w:t>
            </w:r>
          </w:p>
          <w:p>
            <w:pPr>
              <w:spacing w:after="20"/>
            </w:pPr>
            <w:r>
              <w:rPr>
                <w:rFonts w:ascii="Courier New" w:cs="Courier New" w:eastAsia="Courier New" w:hAnsi="Courier New"/>
                <w:color w:val="00FF9F"/>
                <w:sz w:val="16"/>
                <w:szCs w:val="16"/>
              </w:rPr>
              <w:t xml:space="preserve">                        |          10Gbps MPLS              1Gbps Private</w:t>
            </w:r>
          </w:p>
          <w:p>
            <w:pPr>
              <w:spacing w:after="20"/>
            </w:pPr>
            <w:r>
              <w:rPr>
                <w:rFonts w:ascii="Courier New" w:cs="Courier New" w:eastAsia="Courier New" w:hAnsi="Courier New"/>
                <w:color w:val="00FF9F"/>
                <w:sz w:val="16"/>
                <w:szCs w:val="16"/>
              </w:rPr>
              <w:t xml:space="preserve">                        |          (Inter-Hub)                    |</w:t>
            </w:r>
          </w:p>
          <w:p>
            <w:pPr>
              <w:spacing w:after="20"/>
            </w:pPr>
            <w:r>
              <w:rPr>
                <w:rFonts w:ascii="Courier New" w:cs="Courier New" w:eastAsia="Courier New" w:hAnsi="Courier New"/>
                <w:color w:val="00FF9F"/>
                <w:sz w:val="16"/>
                <w:szCs w:val="16"/>
              </w:rPr>
              <w:t xml:space="preserve">                  [N-06 DR Hub — Cedar Rapids, IA]         [N-04 DoD Partner — Arlington, VA]</w:t>
            </w:r>
          </w:p>
          <w:p>
            <w:pPr>
              <w:spacing w:after="20"/>
            </w:pPr>
            <w:r>
              <w:rPr>
                <w:rFonts w:ascii="Courier New" w:cs="Courier New" w:eastAsia="Courier New" w:hAnsi="Courier New"/>
                <w:color w:val="00FF9F"/>
                <w:sz w:val="16"/>
                <w:szCs w:val="16"/>
              </w:rPr>
              <w:t xml:space="preserve">                  (Secondary Core)                         (Isolated Secure Segment)</w:t>
            </w:r>
          </w:p>
          <w:p>
            <w:pPr>
              <w:spacing w:after="20"/>
            </w:pPr>
            <w:r>
              <w:rPr>
                <w:rFonts w:ascii="Courier New" w:cs="Courier New" w:eastAsia="Courier New" w:hAnsi="Courier New"/>
                <w:color w:val="00FF9F"/>
                <w:sz w:val="16"/>
                <w:szCs w:val="16"/>
              </w:rPr>
              <w:t xml:space="preserve">                        |</w:t>
            </w:r>
          </w:p>
          <w:p>
            <w:pPr>
              <w:spacing w:after="20"/>
            </w:pPr>
            <w:r>
              <w:rPr>
                <w:rFonts w:ascii="Courier New" w:cs="Courier New" w:eastAsia="Courier New" w:hAnsi="Courier New"/>
                <w:color w:val="00FF9F"/>
                <w:sz w:val="16"/>
                <w:szCs w:val="16"/>
              </w:rPr>
              <w:t xml:space="preserve">                  SD-WAN / IPsec</w:t>
            </w:r>
          </w:p>
          <w:p>
            <w:pPr>
              <w:spacing w:after="20"/>
            </w:pPr>
            <w:r>
              <w:rPr>
                <w:rFonts w:ascii="Courier New" w:cs="Courier New" w:eastAsia="Courier New" w:hAnsi="Courier New"/>
                <w:color w:val="00FF9F"/>
                <w:sz w:val="16"/>
                <w:szCs w:val="16"/>
              </w:rPr>
              <w:t xml:space="preserve">                        |</w:t>
            </w:r>
          </w:p>
          <w:p>
            <w:pPr>
              <w:spacing w:after="20"/>
            </w:pPr>
            <w:r>
              <w:rPr>
                <w:rFonts w:ascii="Courier New" w:cs="Courier New" w:eastAsia="Courier New" w:hAnsi="Courier New"/>
                <w:color w:val="00FF9F"/>
                <w:sz w:val="16"/>
                <w:szCs w:val="16"/>
              </w:rPr>
              <w:t xml:space="preserve">              [N-05 MRO — Miami, FL]</w:t>
            </w:r>
          </w:p>
        </w:tc>
      </w:tr>
    </w:tbl>
    <w:p>
      <w:pPr>
        <w:spacing w:after="120"/>
      </w:pPr>
    </w:p>
    <w:p>
      <w:pPr>
        <w:pStyle w:val="Heading2"/>
        <w:spacing w:after="120" w:before="280"/>
      </w:pPr>
      <w:r>
        <w:rPr>
          <w:rFonts w:ascii="Arial" w:cs="Arial" w:eastAsia="Arial" w:hAnsi="Arial"/>
          <w:b/>
          <w:bCs/>
          <w:color w:val="2E5FA3"/>
          <w:sz w:val="24"/>
          <w:szCs w:val="24"/>
        </w:rPr>
        <w:t xml:space="preserve">4.2 Link Summary Table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1560"/>
        <w:gridCol w:w="2200"/>
      </w:tblGrid>
      <w:tr>
        <w:tc>
          <w:tcPr>
            <w:tcW w:type="dxa" w:w="1200"/>
            <w:tcBorders>
              <w:top w:val="single" w:color="1B3A6B" w:sz="1"/>
              <w:left w:val="single" w:color="1B3A6B" w:sz="1"/>
              <w:bottom w:val="single" w:color="1B3A6B" w:sz="1"/>
              <w:right w:val="single" w:color="1B3A6B" w:sz="1"/>
            </w:tcBorders>
            <w:shd w:fill="0D2240" w:val="clear"/>
            <w:tcMar>
              <w:top w:type="dxa" w:w="90"/>
              <w:left w:type="dxa" w:w="120"/>
              <w:bottom w:type="dxa" w:w="90"/>
              <w:right w:type="dxa" w:w="120"/>
            </w:tcMar>
          </w:tcPr>
          <w:p>
            <w:r>
              <w:rPr>
                <w:rFonts w:ascii="Arial" w:cs="Arial" w:eastAsia="Arial" w:hAnsi="Arial"/>
                <w:b/>
                <w:bCs/>
                <w:color w:val="FFFFFF"/>
                <w:sz w:val="18"/>
                <w:szCs w:val="18"/>
              </w:rPr>
              <w:t xml:space="preserve">Link ID</w:t>
            </w:r>
          </w:p>
        </w:tc>
        <w:tc>
          <w:tcPr>
            <w:tcW w:type="dxa" w:w="2200"/>
            <w:tcBorders>
              <w:top w:val="single" w:color="1B3A6B" w:sz="1"/>
              <w:left w:val="single" w:color="1B3A6B" w:sz="1"/>
              <w:bottom w:val="single" w:color="1B3A6B" w:sz="1"/>
              <w:right w:val="single" w:color="1B3A6B" w:sz="1"/>
            </w:tcBorders>
            <w:shd w:fill="0D2240" w:val="clear"/>
            <w:tcMar>
              <w:top w:type="dxa" w:w="90"/>
              <w:left w:type="dxa" w:w="120"/>
              <w:bottom w:type="dxa" w:w="90"/>
              <w:right w:type="dxa" w:w="120"/>
            </w:tcMar>
          </w:tcPr>
          <w:p>
            <w:r>
              <w:rPr>
                <w:rFonts w:ascii="Arial" w:cs="Arial" w:eastAsia="Arial" w:hAnsi="Arial"/>
                <w:b/>
                <w:bCs/>
                <w:color w:val="FFFFFF"/>
                <w:sz w:val="18"/>
                <w:szCs w:val="18"/>
              </w:rPr>
              <w:t xml:space="preserve">Source Node</w:t>
            </w:r>
          </w:p>
        </w:tc>
        <w:tc>
          <w:tcPr>
            <w:tcW w:type="dxa" w:w="2200"/>
            <w:tcBorders>
              <w:top w:val="single" w:color="1B3A6B" w:sz="1"/>
              <w:left w:val="single" w:color="1B3A6B" w:sz="1"/>
              <w:bottom w:val="single" w:color="1B3A6B" w:sz="1"/>
              <w:right w:val="single" w:color="1B3A6B" w:sz="1"/>
            </w:tcBorders>
            <w:shd w:fill="0D2240" w:val="clear"/>
            <w:tcMar>
              <w:top w:type="dxa" w:w="90"/>
              <w:left w:type="dxa" w:w="120"/>
              <w:bottom w:type="dxa" w:w="90"/>
              <w:right w:type="dxa" w:w="120"/>
            </w:tcMar>
          </w:tcPr>
          <w:p>
            <w:r>
              <w:rPr>
                <w:rFonts w:ascii="Arial" w:cs="Arial" w:eastAsia="Arial" w:hAnsi="Arial"/>
                <w:b/>
                <w:bCs/>
                <w:color w:val="FFFFFF"/>
                <w:sz w:val="18"/>
                <w:szCs w:val="18"/>
              </w:rPr>
              <w:t xml:space="preserve">Destination Node</w:t>
            </w:r>
          </w:p>
        </w:tc>
        <w:tc>
          <w:tcPr>
            <w:tcW w:type="dxa" w:w="1560"/>
            <w:tcBorders>
              <w:top w:val="single" w:color="1B3A6B" w:sz="1"/>
              <w:left w:val="single" w:color="1B3A6B" w:sz="1"/>
              <w:bottom w:val="single" w:color="1B3A6B" w:sz="1"/>
              <w:right w:val="single" w:color="1B3A6B" w:sz="1"/>
            </w:tcBorders>
            <w:shd w:fill="0D2240" w:val="clear"/>
            <w:tcMar>
              <w:top w:type="dxa" w:w="90"/>
              <w:left w:type="dxa" w:w="120"/>
              <w:bottom w:type="dxa" w:w="90"/>
              <w:right w:type="dxa" w:w="120"/>
            </w:tcMar>
          </w:tcPr>
          <w:p>
            <w:r>
              <w:rPr>
                <w:rFonts w:ascii="Arial" w:cs="Arial" w:eastAsia="Arial" w:hAnsi="Arial"/>
                <w:b/>
                <w:bCs/>
                <w:color w:val="FFFFFF"/>
                <w:sz w:val="18"/>
                <w:szCs w:val="18"/>
              </w:rPr>
              <w:t xml:space="preserve">Bandwidth</w:t>
            </w:r>
          </w:p>
        </w:tc>
        <w:tc>
          <w:tcPr>
            <w:tcW w:type="dxa" w:w="2200"/>
            <w:tcBorders>
              <w:top w:val="single" w:color="1B3A6B" w:sz="1"/>
              <w:left w:val="single" w:color="1B3A6B" w:sz="1"/>
              <w:bottom w:val="single" w:color="1B3A6B" w:sz="1"/>
              <w:right w:val="single" w:color="1B3A6B" w:sz="1"/>
            </w:tcBorders>
            <w:shd w:fill="0D2240" w:val="clear"/>
            <w:tcMar>
              <w:top w:type="dxa" w:w="90"/>
              <w:left w:type="dxa" w:w="120"/>
              <w:bottom w:type="dxa" w:w="90"/>
              <w:right w:type="dxa" w:w="120"/>
            </w:tcMar>
          </w:tcPr>
          <w:p>
            <w:r>
              <w:rPr>
                <w:rFonts w:ascii="Arial" w:cs="Arial" w:eastAsia="Arial" w:hAnsi="Arial"/>
                <w:b/>
                <w:bCs/>
                <w:color w:val="FFFFFF"/>
                <w:sz w:val="18"/>
                <w:szCs w:val="18"/>
              </w:rPr>
              <w:t xml:space="preserve">Technology</w:t>
            </w:r>
          </w:p>
        </w:tc>
      </w:tr>
      <w:tr>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L-01</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N-01 HQ/SOC Hub</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N-06 DR Hub</w:t>
            </w:r>
          </w:p>
        </w:tc>
        <w:tc>
          <w:tcPr>
            <w:tcW w:type="dxa" w:w="1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10 Gbps</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MPLS + BGP Failover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N-01 HQ/SOC Hub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N-02 Engineering East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 Gbps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MPLS + SD-WAN Overlay</w:t>
            </w:r>
          </w:p>
        </w:tc>
      </w:tr>
      <w:tr>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L-03</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N-01 HQ/SOC Hub</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N-03 Manufacturing West</w:t>
            </w:r>
          </w:p>
        </w:tc>
        <w:tc>
          <w:tcPr>
            <w:tcW w:type="dxa" w:w="1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1 Gbps</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MPLS + SD-WAN Overlay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N-01 HQ/SOC Hub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N-04 Gov Partner (DoD)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 Gbps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Dedicated Private Circuit</w:t>
            </w:r>
          </w:p>
        </w:tc>
      </w:tr>
      <w:tr>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L-05</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N-01 HQ/SOC Hub</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N-05 MRO Miami</w:t>
            </w:r>
          </w:p>
        </w:tc>
        <w:tc>
          <w:tcPr>
            <w:tcW w:type="dxa" w:w="1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500 Mbps</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SD-WAN / IPsec over Broadband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N-06 DR Hub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N-02 Engineering East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 Gbps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SD-WAN Backup Path</w:t>
            </w:r>
          </w:p>
        </w:tc>
      </w:tr>
      <w:tr>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L-07</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N-06 DR Hub</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N-03 Manufacturing West</w:t>
            </w:r>
          </w:p>
        </w:tc>
        <w:tc>
          <w:tcPr>
            <w:tcW w:type="dxa" w:w="1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1 Gbps</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SD-WAN Backup Path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L-08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N-06 DR Hub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N-05 MRO Miami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500 Mbps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SD-WAN / IPsec (Backup)</w:t>
            </w:r>
          </w:p>
        </w:tc>
      </w:tr>
    </w:tbl>
    <w:p>
      <w:pPr>
        <w:spacing w:after="120"/>
      </w:pPr>
    </w:p>
    <w:p>
      <w:r>
        <w:br w:type="page"/>
      </w:r>
    </w:p>
    <w:p>
      <w:pPr>
        <w:pStyle w:val="Heading1"/>
        <w:pBdr>
          <w:bottom w:val="single" w:color="1B3A6B" w:sz="8" w:space="4"/>
        </w:pBdr>
        <w:spacing w:after="160" w:before="400"/>
      </w:pPr>
      <w:r>
        <w:rPr>
          <w:rFonts w:ascii="Arial" w:cs="Arial" w:eastAsia="Arial" w:hAnsi="Arial"/>
          <w:b/>
          <w:bCs/>
          <w:color w:val="1B3A6B"/>
          <w:sz w:val="30"/>
          <w:szCs w:val="30"/>
        </w:rPr>
        <w:t xml:space="preserve">5. How the WAN Topology Supports Secure Communication</w:t>
      </w:r>
    </w:p>
    <w:p>
      <w:pPr>
        <w:spacing w:after="120"/>
      </w:pPr>
      <w:r>
        <w:rPr>
          <w:rFonts w:ascii="Arial" w:cs="Arial" w:eastAsia="Arial" w:hAnsi="Arial"/>
          <w:sz w:val="20"/>
          <w:szCs w:val="20"/>
        </w:rPr>
        <w:t xml:space="preserve">The Collins Aerospace WAN is not merely a connectivity architecture — it is a security architecture. Every design decision in the Hybrid Star-Mesh WAN has a corresponding security rationale. This section explains how the topology enforces confidentiality, integrity, availability, and accountability across all inter-site communications.</w:t>
      </w:r>
    </w:p>
    <w:p>
      <w:pPr>
        <w:spacing w:after="120"/>
      </w:pPr>
    </w:p>
    <w:p>
      <w:pPr>
        <w:pStyle w:val="Heading2"/>
        <w:spacing w:after="120" w:before="280"/>
      </w:pPr>
      <w:r>
        <w:rPr>
          <w:rFonts w:ascii="Arial" w:cs="Arial" w:eastAsia="Arial" w:hAnsi="Arial"/>
          <w:b/>
          <w:bCs/>
          <w:color w:val="2E5FA3"/>
          <w:sz w:val="24"/>
          <w:szCs w:val="24"/>
        </w:rPr>
        <w:t xml:space="preserve">5.1 Data Encryption in Transit</w:t>
      </w:r>
    </w:p>
    <w:p>
      <w:pPr>
        <w:spacing w:after="120"/>
      </w:pPr>
      <w:r>
        <w:rPr>
          <w:rFonts w:ascii="Arial" w:cs="Arial" w:eastAsia="Arial" w:hAnsi="Arial"/>
          <w:sz w:val="20"/>
          <w:szCs w:val="20"/>
        </w:rPr>
        <w:t xml:space="preserve">All inter-site communications traversing the WAN are encrypted at both the transport layer and the network layer to ensure that data cannot be intercepted or tampered with in transit — a critical requirement given that Collins Aerospace handles CUI and defense-related intellectual property.</w:t>
      </w:r>
    </w:p>
    <w:p>
      <w:pPr>
        <w:spacing w:after="120"/>
      </w:pPr>
    </w:p>
    <w:p>
      <w:pPr>
        <w:pStyle w:val="ListParagraph"/>
        <w:numPr>
          <w:ilvl w:val="0"/>
          <w:numId w:val="2"/>
        </w:numPr>
        <w:spacing w:after="80"/>
      </w:pPr>
      <w:r>
        <w:rPr>
          <w:rFonts w:ascii="Arial" w:cs="Arial" w:eastAsia="Arial" w:hAnsi="Arial"/>
          <w:sz w:val="20"/>
          <w:szCs w:val="20"/>
        </w:rPr>
        <w:t xml:space="preserve">MPLS circuits (L-01 through L-04): While MPLS provides logical separation from public Internet traffic, all traffic over these circuits is additionally encapsulated with IPsec (AES-256-GCM) to protect against insider threats at the carrier level.</w:t>
      </w:r>
    </w:p>
    <w:p>
      <w:pPr>
        <w:pStyle w:val="ListParagraph"/>
        <w:numPr>
          <w:ilvl w:val="0"/>
          <w:numId w:val="2"/>
        </w:numPr>
        <w:spacing w:after="80"/>
      </w:pPr>
      <w:r>
        <w:rPr>
          <w:rFonts w:ascii="Arial" w:cs="Arial" w:eastAsia="Arial" w:hAnsi="Arial"/>
          <w:sz w:val="20"/>
          <w:szCs w:val="20"/>
        </w:rPr>
        <w:t xml:space="preserve">SD-WAN overlay paths (L-05, L-06, L-07, L-08): Traffic traversing public Internet via SD-WAN is wrapped in IPsec tunnels with IKEv2 key exchange, providing end-to-end encryption regardless of the underlying carrier path.</w:t>
      </w:r>
    </w:p>
    <w:p>
      <w:pPr>
        <w:pStyle w:val="ListParagraph"/>
        <w:numPr>
          <w:ilvl w:val="0"/>
          <w:numId w:val="2"/>
        </w:numPr>
        <w:spacing w:after="80"/>
      </w:pPr>
      <w:r>
        <w:rPr>
          <w:rFonts w:ascii="Arial" w:cs="Arial" w:eastAsia="Arial" w:hAnsi="Arial"/>
          <w:sz w:val="20"/>
          <w:szCs w:val="20"/>
        </w:rPr>
        <w:t xml:space="preserve">Government partner link (L-04): The dedicated circuit to N-04 (Arlington, VA) uses an additional layer of TLS 1.3 application-layer encryption for CUI data flows, satisfying NIST SP 800-171 control 3.13.8 — Implement cryptographic mechanisms to prevent unauthorized disclosure of CUI during transmission.</w:t>
      </w:r>
    </w:p>
    <w:p>
      <w:pPr>
        <w:spacing w:after="120"/>
      </w:pPr>
    </w:p>
    <w:p>
      <w:pPr>
        <w:pStyle w:val="Heading2"/>
        <w:spacing w:after="120" w:before="280"/>
      </w:pPr>
      <w:r>
        <w:rPr>
          <w:rFonts w:ascii="Arial" w:cs="Arial" w:eastAsia="Arial" w:hAnsi="Arial"/>
          <w:b/>
          <w:bCs/>
          <w:color w:val="2E5FA3"/>
          <w:sz w:val="24"/>
          <w:szCs w:val="24"/>
        </w:rPr>
        <w:t xml:space="preserve">5.2 Network Segmentation and Zero Trust Enforcement</w:t>
      </w:r>
    </w:p>
    <w:p>
      <w:pPr>
        <w:spacing w:after="120"/>
      </w:pPr>
      <w:r>
        <w:rPr>
          <w:rFonts w:ascii="Arial" w:cs="Arial" w:eastAsia="Arial" w:hAnsi="Arial"/>
          <w:sz w:val="20"/>
          <w:szCs w:val="20"/>
        </w:rPr>
        <w:t xml:space="preserve">The WAN topology enforces segmentation at the logical and physical levels, implementing a Zero Trust posture that assumes no implicit trust between network zones — even within the enterprise WAN.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2000"/>
        <w:gridCol w:w="2200"/>
      </w:tblGrid>
      <w:tr>
        <w:tc>
          <w:tcPr>
            <w:tcW w:type="dxa" w:w="2000"/>
            <w:tcBorders>
              <w:top w:val="single" w:color="1B3A6B" w:sz="1"/>
              <w:left w:val="single" w:color="1B3A6B" w:sz="1"/>
              <w:bottom w:val="single" w:color="1B3A6B" w:sz="1"/>
              <w:right w:val="single" w:color="1B3A6B" w:sz="1"/>
            </w:tcBorders>
            <w:shd w:fill="2E5FA3" w:val="clear"/>
            <w:tcMar>
              <w:top w:type="dxa" w:w="90"/>
              <w:left w:type="dxa" w:w="120"/>
              <w:bottom w:type="dxa" w:w="90"/>
              <w:right w:type="dxa" w:w="120"/>
            </w:tcMar>
          </w:tcPr>
          <w:p>
            <w:r>
              <w:rPr>
                <w:rFonts w:ascii="Arial" w:cs="Arial" w:eastAsia="Arial" w:hAnsi="Arial"/>
                <w:b/>
                <w:bCs/>
                <w:color w:val="FFFFFF"/>
                <w:sz w:val="18"/>
                <w:szCs w:val="18"/>
              </w:rPr>
              <w:t xml:space="preserve">Segment / VLAN</w:t>
            </w:r>
          </w:p>
        </w:tc>
        <w:tc>
          <w:tcPr>
            <w:tcW w:type="dxa" w:w="3160"/>
            <w:tcBorders>
              <w:top w:val="single" w:color="1B3A6B" w:sz="1"/>
              <w:left w:val="single" w:color="1B3A6B" w:sz="1"/>
              <w:bottom w:val="single" w:color="1B3A6B" w:sz="1"/>
              <w:right w:val="single" w:color="1B3A6B" w:sz="1"/>
            </w:tcBorders>
            <w:shd w:fill="2E5FA3" w:val="clear"/>
            <w:tcMar>
              <w:top w:type="dxa" w:w="90"/>
              <w:left w:type="dxa" w:w="120"/>
              <w:bottom w:type="dxa" w:w="90"/>
              <w:right w:type="dxa" w:w="120"/>
            </w:tcMar>
          </w:tcPr>
          <w:p>
            <w:r>
              <w:rPr>
                <w:rFonts w:ascii="Arial" w:cs="Arial" w:eastAsia="Arial" w:hAnsi="Arial"/>
                <w:b/>
                <w:bCs/>
                <w:color w:val="FFFFFF"/>
                <w:sz w:val="18"/>
                <w:szCs w:val="18"/>
              </w:rPr>
              <w:t xml:space="preserve">Description</w:t>
            </w:r>
          </w:p>
        </w:tc>
        <w:tc>
          <w:tcPr>
            <w:tcW w:type="dxa" w:w="2000"/>
            <w:tcBorders>
              <w:top w:val="single" w:color="1B3A6B" w:sz="1"/>
              <w:left w:val="single" w:color="1B3A6B" w:sz="1"/>
              <w:bottom w:val="single" w:color="1B3A6B" w:sz="1"/>
              <w:right w:val="single" w:color="1B3A6B" w:sz="1"/>
            </w:tcBorders>
            <w:shd w:fill="2E5FA3" w:val="clear"/>
            <w:tcMar>
              <w:top w:type="dxa" w:w="90"/>
              <w:left w:type="dxa" w:w="120"/>
              <w:bottom w:type="dxa" w:w="90"/>
              <w:right w:type="dxa" w:w="120"/>
            </w:tcMar>
          </w:tcPr>
          <w:p>
            <w:r>
              <w:rPr>
                <w:rFonts w:ascii="Arial" w:cs="Arial" w:eastAsia="Arial" w:hAnsi="Arial"/>
                <w:b/>
                <w:bCs/>
                <w:color w:val="FFFFFF"/>
                <w:sz w:val="18"/>
                <w:szCs w:val="18"/>
              </w:rPr>
              <w:t xml:space="preserve">Nodes In Scope</w:t>
            </w:r>
          </w:p>
        </w:tc>
        <w:tc>
          <w:tcPr>
            <w:tcW w:type="dxa" w:w="2200"/>
            <w:tcBorders>
              <w:top w:val="single" w:color="1B3A6B" w:sz="1"/>
              <w:left w:val="single" w:color="1B3A6B" w:sz="1"/>
              <w:bottom w:val="single" w:color="1B3A6B" w:sz="1"/>
              <w:right w:val="single" w:color="1B3A6B" w:sz="1"/>
            </w:tcBorders>
            <w:shd w:fill="2E5FA3" w:val="clear"/>
            <w:tcMar>
              <w:top w:type="dxa" w:w="90"/>
              <w:left w:type="dxa" w:w="120"/>
              <w:bottom w:type="dxa" w:w="90"/>
              <w:right w:type="dxa" w:w="120"/>
            </w:tcMar>
          </w:tcPr>
          <w:p>
            <w:r>
              <w:rPr>
                <w:rFonts w:ascii="Arial" w:cs="Arial" w:eastAsia="Arial" w:hAnsi="Arial"/>
                <w:b/>
                <w:bCs/>
                <w:color w:val="FFFFFF"/>
                <w:sz w:val="18"/>
                <w:szCs w:val="18"/>
              </w:rPr>
              <w:t xml:space="preserve">Access Control</w:t>
            </w:r>
          </w:p>
        </w:tc>
      </w:tr>
      <w:tr>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VLAN 10 — CUI</w:t>
            </w:r>
          </w:p>
        </w:tc>
        <w:tc>
          <w:tcPr>
            <w:tcW w:type="dxa" w:w="3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Controlled Unclassified Information flows</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N-01, N-02, N-04</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MFA + RBAC + Microsegmentation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VLAN 20 — Enterprise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General corporate traffic, email, collaboration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N-01 through N-05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SSO + NAC enforcement</w:t>
            </w:r>
          </w:p>
        </w:tc>
      </w:tr>
      <w:tr>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VLAN 30 — OT/Mfg</w:t>
            </w:r>
          </w:p>
        </w:tc>
        <w:tc>
          <w:tcPr>
            <w:tcW w:type="dxa" w:w="3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Manufacturing floor OT/ICS systems</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N-03</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Air-gapped from VLAN 10/20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VLAN 40 — SOC/Mgmt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Network management, SIEM, monitoring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N-01, N-06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Privileged access only</w:t>
            </w:r>
          </w:p>
        </w:tc>
      </w:tr>
      <w:tr>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VLAN 50 — DR Replication</w:t>
            </w:r>
          </w:p>
        </w:tc>
        <w:tc>
          <w:tcPr>
            <w:tcW w:type="dxa" w:w="3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Backup and DR data replication</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N-01, N-06</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Encrypted replication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VLAN 99 — Quarantine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Isolated segment for suspect or onboarding devices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nodes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WAN routing — local firewall only</w:t>
            </w:r>
          </w:p>
        </w:tc>
      </w:tr>
    </w:tbl>
    <w:p>
      <w:pPr>
        <w:spacing w:after="120"/>
      </w:pPr>
    </w:p>
    <w:p>
      <w:pPr>
        <w:spacing w:after="120"/>
      </w:pPr>
      <w:r>
        <w:rPr>
          <w:rFonts w:ascii="Arial" w:cs="Arial" w:eastAsia="Arial" w:hAnsi="Arial"/>
          <w:sz w:val="20"/>
          <w:szCs w:val="20"/>
        </w:rPr>
        <w:t xml:space="preserve">Inter-VLAN traffic is governed by stateful firewall policies at the N-01 hub. No VLAN may communicate with another without explicit allow rules. The OT/Manufacturing VLAN (VLAN 30) at N-03 is fully air-gapped from enterprise VLANs, with data diode technology used for one-way telemetry export.</w:t>
      </w:r>
    </w:p>
    <w:p>
      <w:pPr>
        <w:spacing w:after="120"/>
      </w:pPr>
    </w:p>
    <w:p>
      <w:pPr>
        <w:pStyle w:val="Heading2"/>
        <w:spacing w:after="120" w:before="280"/>
      </w:pPr>
      <w:r>
        <w:rPr>
          <w:rFonts w:ascii="Arial" w:cs="Arial" w:eastAsia="Arial" w:hAnsi="Arial"/>
          <w:b/>
          <w:bCs/>
          <w:color w:val="2E5FA3"/>
          <w:sz w:val="24"/>
          <w:szCs w:val="24"/>
        </w:rPr>
        <w:t xml:space="preserve">5.3 Authentication and Access Control</w:t>
      </w:r>
    </w:p>
    <w:p>
      <w:pPr>
        <w:spacing w:after="120"/>
      </w:pPr>
      <w:r>
        <w:rPr>
          <w:rFonts w:ascii="Arial" w:cs="Arial" w:eastAsia="Arial" w:hAnsi="Arial"/>
          <w:sz w:val="20"/>
          <w:szCs w:val="20"/>
        </w:rPr>
        <w:t xml:space="preserve">The WAN enforces multi-layered authentication for all access to network resources and inter-site communications:</w:t>
      </w:r>
    </w:p>
    <w:p>
      <w:pPr>
        <w:spacing w:after="120"/>
      </w:pPr>
    </w:p>
    <w:p>
      <w:pPr>
        <w:pStyle w:val="ListParagraph"/>
        <w:numPr>
          <w:ilvl w:val="0"/>
          <w:numId w:val="2"/>
        </w:numPr>
        <w:spacing w:after="80"/>
      </w:pPr>
      <w:r>
        <w:rPr>
          <w:rFonts w:ascii="Arial" w:cs="Arial" w:eastAsia="Arial" w:hAnsi="Arial"/>
          <w:sz w:val="20"/>
          <w:szCs w:val="20"/>
        </w:rPr>
        <w:t xml:space="preserve">Site-to-site VPN authentication: Certificate-based IKEv2 mutual authentication using PKI certificates issued by the Collins Aerospace internal CA, with 2048-bit RSA keys and annual rotation.</w:t>
      </w:r>
    </w:p>
    <w:p>
      <w:pPr>
        <w:pStyle w:val="ListParagraph"/>
        <w:numPr>
          <w:ilvl w:val="0"/>
          <w:numId w:val="2"/>
        </w:numPr>
        <w:spacing w:after="80"/>
      </w:pPr>
      <w:r>
        <w:rPr>
          <w:rFonts w:ascii="Arial" w:cs="Arial" w:eastAsia="Arial" w:hAnsi="Arial"/>
          <w:sz w:val="20"/>
          <w:szCs w:val="20"/>
        </w:rPr>
        <w:t xml:space="preserve">User access to WAN resources: Single Sign-On (SSO) via SAML 2.0 federated to Microsoft Entra ID (formerly Azure AD), with conditional access policies enforcing MFA for all CUI-scoped applications.</w:t>
      </w:r>
    </w:p>
    <w:p>
      <w:pPr>
        <w:pStyle w:val="ListParagraph"/>
        <w:numPr>
          <w:ilvl w:val="0"/>
          <w:numId w:val="2"/>
        </w:numPr>
        <w:spacing w:after="80"/>
      </w:pPr>
      <w:r>
        <w:rPr>
          <w:rFonts w:ascii="Arial" w:cs="Arial" w:eastAsia="Arial" w:hAnsi="Arial"/>
          <w:sz w:val="20"/>
          <w:szCs w:val="20"/>
        </w:rPr>
        <w:t xml:space="preserve">Network device management: All WAN routers, switches, and firewalls require TACACS+ authentication for admin access, with session recording for privileged operations.</w:t>
      </w:r>
    </w:p>
    <w:p>
      <w:pPr>
        <w:pStyle w:val="ListParagraph"/>
        <w:numPr>
          <w:ilvl w:val="0"/>
          <w:numId w:val="2"/>
        </w:numPr>
        <w:spacing w:after="80"/>
      </w:pPr>
      <w:r>
        <w:rPr>
          <w:rFonts w:ascii="Arial" w:cs="Arial" w:eastAsia="Arial" w:hAnsi="Arial"/>
          <w:sz w:val="20"/>
          <w:szCs w:val="20"/>
        </w:rPr>
        <w:t xml:space="preserve">Zero Trust Network Access (ZTNA): Remote and third-party access to WAN resources is brokered via a ZTNA gateway at N-01, eliminating direct VPN exposure of internal network segments.</w:t>
      </w:r>
    </w:p>
    <w:p>
      <w:pPr>
        <w:spacing w:after="120"/>
      </w:pPr>
    </w:p>
    <w:p>
      <w:pPr>
        <w:pStyle w:val="Heading2"/>
        <w:spacing w:after="120" w:before="280"/>
      </w:pPr>
      <w:r>
        <w:rPr>
          <w:rFonts w:ascii="Arial" w:cs="Arial" w:eastAsia="Arial" w:hAnsi="Arial"/>
          <w:b/>
          <w:bCs/>
          <w:color w:val="2E5FA3"/>
          <w:sz w:val="24"/>
          <w:szCs w:val="24"/>
        </w:rPr>
        <w:t xml:space="preserve">5.4 Perimeter Defense Architecture</w:t>
      </w:r>
    </w:p>
    <w:p>
      <w:pPr>
        <w:spacing w:after="120"/>
      </w:pPr>
      <w:r>
        <w:rPr>
          <w:rFonts w:ascii="Arial" w:cs="Arial" w:eastAsia="Arial" w:hAnsi="Arial"/>
          <w:sz w:val="20"/>
          <w:szCs w:val="20"/>
        </w:rPr>
        <w:t xml:space="preserve">Each WAN node operates a defense-in-depth perimeter model:</w:t>
      </w:r>
    </w:p>
    <w:p>
      <w:pPr>
        <w:spacing w:after="120"/>
      </w:pPr>
    </w:p>
    <w:p>
      <w:pPr>
        <w:pStyle w:val="ListParagraph"/>
        <w:numPr>
          <w:ilvl w:val="0"/>
          <w:numId w:val="2"/>
        </w:numPr>
        <w:spacing w:after="80"/>
      </w:pPr>
      <w:r>
        <w:rPr>
          <w:rFonts w:ascii="Arial" w:cs="Arial" w:eastAsia="Arial" w:hAnsi="Arial"/>
          <w:sz w:val="20"/>
          <w:szCs w:val="20"/>
        </w:rPr>
        <w:t xml:space="preserve">Next-Generation Firewalls (NGFW) at all nodes: Palo Alto Networks NGFWs performing deep packet inspection (DPI), URL filtering, application identification, and threat prevention on all inbound and outbound WAN traffic.</w:t>
      </w:r>
    </w:p>
    <w:p>
      <w:pPr>
        <w:pStyle w:val="ListParagraph"/>
        <w:numPr>
          <w:ilvl w:val="0"/>
          <w:numId w:val="2"/>
        </w:numPr>
        <w:spacing w:after="80"/>
      </w:pPr>
      <w:r>
        <w:rPr>
          <w:rFonts w:ascii="Arial" w:cs="Arial" w:eastAsia="Arial" w:hAnsi="Arial"/>
          <w:sz w:val="20"/>
          <w:szCs w:val="20"/>
        </w:rPr>
        <w:t xml:space="preserve">Intrusion Prevention System (IPS): Inline IPS sensors at N-01 and N-06 (core hubs) inspecting all inter-hub and hub-to-spoke traffic for known attack signatures and anomalous behavior.</w:t>
      </w:r>
    </w:p>
    <w:p>
      <w:pPr>
        <w:pStyle w:val="ListParagraph"/>
        <w:numPr>
          <w:ilvl w:val="0"/>
          <w:numId w:val="2"/>
        </w:numPr>
        <w:spacing w:after="80"/>
      </w:pPr>
      <w:r>
        <w:rPr>
          <w:rFonts w:ascii="Arial" w:cs="Arial" w:eastAsia="Arial" w:hAnsi="Arial"/>
          <w:sz w:val="20"/>
          <w:szCs w:val="20"/>
        </w:rPr>
        <w:t xml:space="preserve">DMZ architecture at N-04 (Government Partner): A dedicated DMZ separates the Collins Aerospace internal WAN from the DoD partner interface, ensuring that a compromise of the government-facing systems cannot propagate into the core enterprise WAN.</w:t>
      </w:r>
    </w:p>
    <w:p>
      <w:pPr>
        <w:pStyle w:val="ListParagraph"/>
        <w:numPr>
          <w:ilvl w:val="0"/>
          <w:numId w:val="2"/>
        </w:numPr>
        <w:spacing w:after="80"/>
      </w:pPr>
      <w:r>
        <w:rPr>
          <w:rFonts w:ascii="Arial" w:cs="Arial" w:eastAsia="Arial" w:hAnsi="Arial"/>
          <w:sz w:val="20"/>
          <w:szCs w:val="20"/>
        </w:rPr>
        <w:t xml:space="preserve">DDoS mitigation: Upstream scrubbing services contracted with the MPLS carrier, with local rate-limiting policies at all spoke ingress points.</w:t>
      </w:r>
    </w:p>
    <w:p>
      <w:pPr>
        <w:spacing w:after="120"/>
      </w:pPr>
    </w:p>
    <w:p>
      <w:pPr>
        <w:pStyle w:val="Heading2"/>
        <w:spacing w:after="120" w:before="280"/>
      </w:pPr>
      <w:r>
        <w:rPr>
          <w:rFonts w:ascii="Arial" w:cs="Arial" w:eastAsia="Arial" w:hAnsi="Arial"/>
          <w:b/>
          <w:bCs/>
          <w:color w:val="2E5FA3"/>
          <w:sz w:val="24"/>
          <w:szCs w:val="24"/>
        </w:rPr>
        <w:t xml:space="preserve">5.5 Regulatory Compliance Mapping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1B3A6B" w:sz="1"/>
              <w:left w:val="single" w:color="1B3A6B" w:sz="1"/>
              <w:bottom w:val="single" w:color="1B3A6B" w:sz="1"/>
              <w:right w:val="single" w:color="1B3A6B" w:sz="1"/>
            </w:tcBorders>
            <w:shd w:fill="0D2240" w:val="clear"/>
            <w:tcMar>
              <w:top w:type="dxa" w:w="90"/>
              <w:left w:type="dxa" w:w="120"/>
              <w:bottom w:type="dxa" w:w="90"/>
              <w:right w:type="dxa" w:w="120"/>
            </w:tcMar>
          </w:tcPr>
          <w:p>
            <w:r>
              <w:rPr>
                <w:rFonts w:ascii="Arial" w:cs="Arial" w:eastAsia="Arial" w:hAnsi="Arial"/>
                <w:b/>
                <w:bCs/>
                <w:color w:val="FFFFFF"/>
                <w:sz w:val="18"/>
                <w:szCs w:val="18"/>
              </w:rPr>
              <w:t xml:space="preserve">Regulation / Framework</w:t>
            </w:r>
          </w:p>
        </w:tc>
        <w:tc>
          <w:tcPr>
            <w:tcW w:type="dxa" w:w="3160"/>
            <w:tcBorders>
              <w:top w:val="single" w:color="1B3A6B" w:sz="1"/>
              <w:left w:val="single" w:color="1B3A6B" w:sz="1"/>
              <w:bottom w:val="single" w:color="1B3A6B" w:sz="1"/>
              <w:right w:val="single" w:color="1B3A6B" w:sz="1"/>
            </w:tcBorders>
            <w:shd w:fill="0D2240" w:val="clear"/>
            <w:tcMar>
              <w:top w:type="dxa" w:w="90"/>
              <w:left w:type="dxa" w:w="120"/>
              <w:bottom w:type="dxa" w:w="90"/>
              <w:right w:type="dxa" w:w="120"/>
            </w:tcMar>
          </w:tcPr>
          <w:p>
            <w:r>
              <w:rPr>
                <w:rFonts w:ascii="Arial" w:cs="Arial" w:eastAsia="Arial" w:hAnsi="Arial"/>
                <w:b/>
                <w:bCs/>
                <w:color w:val="FFFFFF"/>
                <w:sz w:val="18"/>
                <w:szCs w:val="18"/>
              </w:rPr>
              <w:t xml:space="preserve">Control / Requirement</w:t>
            </w:r>
          </w:p>
        </w:tc>
        <w:tc>
          <w:tcPr>
            <w:tcW w:type="dxa" w:w="4000"/>
            <w:tcBorders>
              <w:top w:val="single" w:color="1B3A6B" w:sz="1"/>
              <w:left w:val="single" w:color="1B3A6B" w:sz="1"/>
              <w:bottom w:val="single" w:color="1B3A6B" w:sz="1"/>
              <w:right w:val="single" w:color="1B3A6B" w:sz="1"/>
            </w:tcBorders>
            <w:shd w:fill="0D2240" w:val="clear"/>
            <w:tcMar>
              <w:top w:type="dxa" w:w="90"/>
              <w:left w:type="dxa" w:w="120"/>
              <w:bottom w:type="dxa" w:w="90"/>
              <w:right w:type="dxa" w:w="120"/>
            </w:tcMar>
          </w:tcPr>
          <w:p>
            <w:r>
              <w:rPr>
                <w:rFonts w:ascii="Arial" w:cs="Arial" w:eastAsia="Arial" w:hAnsi="Arial"/>
                <w:b/>
                <w:bCs/>
                <w:color w:val="FFFFFF"/>
                <w:sz w:val="18"/>
                <w:szCs w:val="18"/>
              </w:rPr>
              <w:t xml:space="preserve">WAN Design Element Satisfying This Control</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NIST SP 800-171 3.13.1</w:t>
            </w:r>
          </w:p>
        </w:tc>
        <w:tc>
          <w:tcPr>
            <w:tcW w:type="dxa" w:w="3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Protect CUI in transit</w:t>
            </w:r>
          </w:p>
        </w:tc>
        <w:tc>
          <w:tcPr>
            <w:tcW w:type="dxa" w:w="4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IPsec AES-256 on all MPLS and SD-WAN links; TLS 1.3 for app-layer CUI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NIST SP 800-171 3.1.3</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Control CUI flow</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VLAN 10 segmentation + stateful firewall inter-VLAN rules</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CMMC 2.0 AC.L2-3.1.12</w:t>
            </w:r>
          </w:p>
        </w:tc>
        <w:tc>
          <w:tcPr>
            <w:tcW w:type="dxa" w:w="3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Control remote access sessions</w:t>
            </w:r>
          </w:p>
        </w:tc>
        <w:tc>
          <w:tcPr>
            <w:tcW w:type="dxa" w:w="4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ZTNA gateway at N-01; no direct VPN tunnel to internal segments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CMMC 2.0 AU.L2-3.3.1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 and retain audit logs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Centralized SIEM at N-01 SOC aggregating logs from all WAN nodes</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ITAR 22 CFR Part 120</w:t>
            </w:r>
          </w:p>
        </w:tc>
        <w:tc>
          <w:tcPr>
            <w:tcW w:type="dxa" w:w="3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Protect technical defense data</w:t>
            </w:r>
          </w:p>
        </w:tc>
        <w:tc>
          <w:tcPr>
            <w:tcW w:type="dxa" w:w="4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Physical and logical isolation of CUI VLAN; ITAR flagging in DLP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NIST CSF PR.AC-5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Network integrity — least privilege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TACACS+ device access control; ZTNA for user access</w:t>
            </w:r>
          </w:p>
        </w:tc>
      </w:tr>
    </w:tbl>
    <w:p>
      <w:pPr>
        <w:spacing w:after="120"/>
      </w:pPr>
    </w:p>
    <w:p>
      <w:r>
        <w:br w:type="page"/>
      </w:r>
    </w:p>
    <w:p>
      <w:pPr>
        <w:pStyle w:val="Heading1"/>
        <w:pBdr>
          <w:bottom w:val="single" w:color="1B3A6B" w:sz="8" w:space="4"/>
        </w:pBdr>
        <w:spacing w:after="160" w:before="400"/>
      </w:pPr>
      <w:r>
        <w:rPr>
          <w:rFonts w:ascii="Arial" w:cs="Arial" w:eastAsia="Arial" w:hAnsi="Arial"/>
          <w:b/>
          <w:bCs/>
          <w:color w:val="1B3A6B"/>
          <w:sz w:val="30"/>
          <w:szCs w:val="30"/>
        </w:rPr>
        <w:t xml:space="preserve">6. How the WAN Topology Supports Network Management</w:t>
      </w:r>
    </w:p>
    <w:p>
      <w:pPr>
        <w:spacing w:after="120"/>
      </w:pPr>
      <w:r>
        <w:rPr>
          <w:rFonts w:ascii="Arial" w:cs="Arial" w:eastAsia="Arial" w:hAnsi="Arial"/>
          <w:sz w:val="20"/>
          <w:szCs w:val="20"/>
        </w:rPr>
        <w:t xml:space="preserve">Effective network management in a multi-site WAN environment requires centralized visibility, automated response capabilities, and well-defined operational procedures. The Collins Aerospace WAN topology is designed to support all three dimensions of network management: monitoring, control, and governance.</w:t>
      </w:r>
    </w:p>
    <w:p>
      <w:pPr>
        <w:spacing w:after="120"/>
      </w:pPr>
    </w:p>
    <w:p>
      <w:pPr>
        <w:pStyle w:val="Heading2"/>
        <w:spacing w:after="120" w:before="280"/>
      </w:pPr>
      <w:r>
        <w:rPr>
          <w:rFonts w:ascii="Arial" w:cs="Arial" w:eastAsia="Arial" w:hAnsi="Arial"/>
          <w:b/>
          <w:bCs/>
          <w:color w:val="2E5FA3"/>
          <w:sz w:val="24"/>
          <w:szCs w:val="24"/>
        </w:rPr>
        <w:t xml:space="preserve">6.1 Centralized Management Architecture</w:t>
      </w:r>
    </w:p>
    <w:p>
      <w:pPr>
        <w:spacing w:after="120"/>
      </w:pPr>
      <w:r>
        <w:rPr>
          <w:rFonts w:ascii="Arial" w:cs="Arial" w:eastAsia="Arial" w:hAnsi="Arial"/>
          <w:sz w:val="20"/>
          <w:szCs w:val="20"/>
        </w:rPr>
        <w:t xml:space="preserve">The hub-and-spoke foundation of the Hybrid Star-Mesh topology provides a natural centralization point at N-01 (Windsor Locks HQ/SOC). This hub serves as the network management plane for the entire WAN, hosting the following management systems:</w:t>
      </w:r>
    </w:p>
    <w:p>
      <w:pPr>
        <w:spacing w:after="120"/>
      </w:pPr>
    </w:p>
    <w:p>
      <w:pPr>
        <w:pStyle w:val="ListParagraph"/>
        <w:numPr>
          <w:ilvl w:val="0"/>
          <w:numId w:val="2"/>
        </w:numPr>
        <w:spacing w:after="80"/>
      </w:pPr>
      <w:r>
        <w:rPr>
          <w:rFonts w:ascii="Arial" w:cs="Arial" w:eastAsia="Arial" w:hAnsi="Arial"/>
          <w:sz w:val="20"/>
          <w:szCs w:val="20"/>
        </w:rPr>
        <w:t xml:space="preserve">Network Management System (NMS): SolarWinds NPM deployed at N-01, polling all WAN devices via SNMPv3 for performance metrics, interface utilization, latency, and packet loss. Dashboards provide real-time and historical visibility across all six nodes.</w:t>
      </w:r>
    </w:p>
    <w:p>
      <w:pPr>
        <w:pStyle w:val="ListParagraph"/>
        <w:numPr>
          <w:ilvl w:val="0"/>
          <w:numId w:val="2"/>
        </w:numPr>
        <w:spacing w:after="80"/>
      </w:pPr>
      <w:r>
        <w:rPr>
          <w:rFonts w:ascii="Arial" w:cs="Arial" w:eastAsia="Arial" w:hAnsi="Arial"/>
          <w:sz w:val="20"/>
          <w:szCs w:val="20"/>
        </w:rPr>
        <w:t xml:space="preserve">Security Information and Event Management (SIEM): Splunk Enterprise SIEM ingesting syslog, NetFlow, firewall logs, IPS alerts, and endpoint telemetry from all WAN nodes. Correlation rules generate alerts for anomalous traffic patterns and policy violations.</w:t>
      </w:r>
    </w:p>
    <w:p>
      <w:pPr>
        <w:pStyle w:val="ListParagraph"/>
        <w:numPr>
          <w:ilvl w:val="0"/>
          <w:numId w:val="2"/>
        </w:numPr>
        <w:spacing w:after="80"/>
      </w:pPr>
      <w:r>
        <w:rPr>
          <w:rFonts w:ascii="Arial" w:cs="Arial" w:eastAsia="Arial" w:hAnsi="Arial"/>
          <w:sz w:val="20"/>
          <w:szCs w:val="20"/>
        </w:rPr>
        <w:t xml:space="preserve">SD-WAN Orchestration Console: Centralized SD-WAN controller managing path selection, QoS policies, and application-aware routing across all SD-WAN links (L-02 through L-08). Policy changes propagate to all edges from a single management interface.</w:t>
      </w:r>
    </w:p>
    <w:p>
      <w:pPr>
        <w:pStyle w:val="ListParagraph"/>
        <w:numPr>
          <w:ilvl w:val="0"/>
          <w:numId w:val="2"/>
        </w:numPr>
        <w:spacing w:after="80"/>
      </w:pPr>
      <w:r>
        <w:rPr>
          <w:rFonts w:ascii="Arial" w:cs="Arial" w:eastAsia="Arial" w:hAnsi="Arial"/>
          <w:sz w:val="20"/>
          <w:szCs w:val="20"/>
        </w:rPr>
        <w:t xml:space="preserve">Configuration Management: Ansible-based network automation with GitOps versioning of all router, switch, and firewall configurations. All changes are peer-reviewed via pull request before deployment, maintaining an auditable change history.</w:t>
      </w:r>
    </w:p>
    <w:p>
      <w:pPr>
        <w:spacing w:after="120"/>
      </w:pPr>
    </w:p>
    <w:p>
      <w:pPr>
        <w:pStyle w:val="Heading2"/>
        <w:spacing w:after="120" w:before="280"/>
      </w:pPr>
      <w:r>
        <w:rPr>
          <w:rFonts w:ascii="Arial" w:cs="Arial" w:eastAsia="Arial" w:hAnsi="Arial"/>
          <w:b/>
          <w:bCs/>
          <w:color w:val="2E5FA3"/>
          <w:sz w:val="24"/>
          <w:szCs w:val="24"/>
        </w:rPr>
        <w:t xml:space="preserve">6.2 Redundancy and High Availability</w:t>
      </w:r>
    </w:p>
    <w:p>
      <w:pPr>
        <w:spacing w:after="120"/>
      </w:pPr>
      <w:r>
        <w:rPr>
          <w:rFonts w:ascii="Arial" w:cs="Arial" w:eastAsia="Arial" w:hAnsi="Arial"/>
          <w:sz w:val="20"/>
          <w:szCs w:val="20"/>
        </w:rPr>
        <w:t xml:space="preserve">The Hybrid Star-Mesh topology is specifically designed to eliminate single points of failure in the management and data planes: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1B3A6B" w:sz="1"/>
              <w:left w:val="single" w:color="1B3A6B" w:sz="1"/>
              <w:bottom w:val="single" w:color="1B3A6B" w:sz="1"/>
              <w:right w:val="single" w:color="1B3A6B" w:sz="1"/>
            </w:tcBorders>
            <w:shd w:fill="2E5FA3" w:val="clear"/>
            <w:tcMar>
              <w:top w:type="dxa" w:w="90"/>
              <w:left w:type="dxa" w:w="120"/>
              <w:bottom w:type="dxa" w:w="90"/>
              <w:right w:type="dxa" w:w="120"/>
            </w:tcMar>
          </w:tcPr>
          <w:p>
            <w:r>
              <w:rPr>
                <w:rFonts w:ascii="Arial" w:cs="Arial" w:eastAsia="Arial" w:hAnsi="Arial"/>
                <w:b/>
                <w:bCs/>
                <w:color w:val="FFFFFF"/>
                <w:sz w:val="18"/>
                <w:szCs w:val="18"/>
              </w:rPr>
              <w:t xml:space="preserve">Failure Scenario</w:t>
            </w:r>
          </w:p>
        </w:tc>
        <w:tc>
          <w:tcPr>
            <w:tcW w:type="dxa" w:w="3360"/>
            <w:tcBorders>
              <w:top w:val="single" w:color="1B3A6B" w:sz="1"/>
              <w:left w:val="single" w:color="1B3A6B" w:sz="1"/>
              <w:bottom w:val="single" w:color="1B3A6B" w:sz="1"/>
              <w:right w:val="single" w:color="1B3A6B" w:sz="1"/>
            </w:tcBorders>
            <w:shd w:fill="2E5FA3" w:val="clear"/>
            <w:tcMar>
              <w:top w:type="dxa" w:w="90"/>
              <w:left w:type="dxa" w:w="120"/>
              <w:bottom w:type="dxa" w:w="90"/>
              <w:right w:type="dxa" w:w="120"/>
            </w:tcMar>
          </w:tcPr>
          <w:p>
            <w:r>
              <w:rPr>
                <w:rFonts w:ascii="Arial" w:cs="Arial" w:eastAsia="Arial" w:hAnsi="Arial"/>
                <w:b/>
                <w:bCs/>
                <w:color w:val="FFFFFF"/>
                <w:sz w:val="18"/>
                <w:szCs w:val="18"/>
              </w:rPr>
              <w:t xml:space="preserve">Impact Without Redundancy</w:t>
            </w:r>
          </w:p>
        </w:tc>
        <w:tc>
          <w:tcPr>
            <w:tcW w:type="dxa" w:w="3600"/>
            <w:tcBorders>
              <w:top w:val="single" w:color="1B3A6B" w:sz="1"/>
              <w:left w:val="single" w:color="1B3A6B" w:sz="1"/>
              <w:bottom w:val="single" w:color="1B3A6B" w:sz="1"/>
              <w:right w:val="single" w:color="1B3A6B" w:sz="1"/>
            </w:tcBorders>
            <w:shd w:fill="2E5FA3" w:val="clear"/>
            <w:tcMar>
              <w:top w:type="dxa" w:w="90"/>
              <w:left w:type="dxa" w:w="120"/>
              <w:bottom w:type="dxa" w:w="90"/>
              <w:right w:type="dxa" w:w="120"/>
            </w:tcMar>
          </w:tcPr>
          <w:p>
            <w:r>
              <w:rPr>
                <w:rFonts w:ascii="Arial" w:cs="Arial" w:eastAsia="Arial" w:hAnsi="Arial"/>
                <w:b/>
                <w:bCs/>
                <w:color w:val="FFFFFF"/>
                <w:sz w:val="18"/>
                <w:szCs w:val="18"/>
              </w:rPr>
              <w:t xml:space="preserve">WAN Design Mitigation</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N-01 Primary Hub failure</w:t>
            </w:r>
          </w:p>
        </w:tc>
        <w:tc>
          <w:tcPr>
            <w:tcW w:type="dxa" w:w="3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All spoke sites lose WAN connectivity</w:t>
            </w:r>
          </w:p>
        </w:tc>
        <w:tc>
          <w:tcPr>
            <w:tcW w:type="dxa" w:w="3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N-06 DR Hub activates as primary; spokes reroute via BGP within &lt;60 sec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L-01 Inter-hub link failure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N-01 and N-06 lose synchronization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BGP failover to redundant Internet VPN path; MPLS carrier SLA guarantees restoration</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L-02 or L-03 MPLS failure</w:t>
            </w:r>
          </w:p>
        </w:tc>
        <w:tc>
          <w:tcPr>
            <w:tcW w:type="dxa" w:w="3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Engineering or Manufacturing site isolated</w:t>
            </w:r>
          </w:p>
        </w:tc>
        <w:tc>
          <w:tcPr>
            <w:tcW w:type="dxa" w:w="3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SD-WAN overlay activates automatic path switch to broadband IPsec within &lt;30 sec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SIEM or NMS outage at N-01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Loss of enterprise-wide visibility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N-06 hosts hot standby SIEM replica; automated failover with &lt;5 min RPO</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Ransomware lateral movement</w:t>
            </w:r>
          </w:p>
        </w:tc>
        <w:tc>
          <w:tcPr>
            <w:tcW w:type="dxa" w:w="3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Potential WAN-wide propagation</w:t>
            </w:r>
          </w:p>
        </w:tc>
        <w:tc>
          <w:tcPr>
            <w:tcW w:type="dxa" w:w="3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VLAN segmentation + NGFW east-west inspection contains blast radius to originating VLAN</w:t>
            </w:r>
          </w:p>
        </w:tc>
      </w:tr>
    </w:tbl>
    <w:p>
      <w:pPr>
        <w:spacing w:after="120"/>
      </w:pPr>
    </w:p>
    <w:p>
      <w:pPr>
        <w:pStyle w:val="Heading2"/>
        <w:spacing w:after="120" w:before="280"/>
      </w:pPr>
      <w:r>
        <w:rPr>
          <w:rFonts w:ascii="Arial" w:cs="Arial" w:eastAsia="Arial" w:hAnsi="Arial"/>
          <w:b/>
          <w:bCs/>
          <w:color w:val="2E5FA3"/>
          <w:sz w:val="24"/>
          <w:szCs w:val="24"/>
        </w:rPr>
        <w:t xml:space="preserve">6.3 Performance Management and QoS</w:t>
      </w:r>
    </w:p>
    <w:p>
      <w:pPr>
        <w:spacing w:after="120"/>
      </w:pPr>
      <w:r>
        <w:rPr>
          <w:rFonts w:ascii="Arial" w:cs="Arial" w:eastAsia="Arial" w:hAnsi="Arial"/>
          <w:sz w:val="20"/>
          <w:szCs w:val="20"/>
        </w:rPr>
        <w:t xml:space="preserve">Quality of Service (QoS) policies are enforced at all WAN ingress and egress points to ensure that mission-critical traffic receives appropriate priority under congestion conditions:</w:t>
      </w:r>
    </w:p>
    <w:p>
      <w:pPr>
        <w:spacing w:after="120"/>
      </w:pPr>
    </w:p>
    <w:p>
      <w:pPr>
        <w:pStyle w:val="ListParagraph"/>
        <w:numPr>
          <w:ilvl w:val="0"/>
          <w:numId w:val="2"/>
        </w:numPr>
        <w:spacing w:after="80"/>
      </w:pPr>
      <w:r>
        <w:rPr>
          <w:rFonts w:ascii="Arial" w:cs="Arial" w:eastAsia="Arial" w:hAnsi="Arial"/>
          <w:sz w:val="20"/>
          <w:szCs w:val="20"/>
        </w:rPr>
        <w:t xml:space="preserve">DSCP marking: Traffic is classified and marked at the source application tier. CUI data transfers, VoIP, and video conferencing are marked as Expedited Forwarding (EF) and Assured Forwarding (AF) classes respectively.</w:t>
      </w:r>
    </w:p>
    <w:p>
      <w:pPr>
        <w:pStyle w:val="ListParagraph"/>
        <w:numPr>
          <w:ilvl w:val="0"/>
          <w:numId w:val="2"/>
        </w:numPr>
        <w:spacing w:after="80"/>
      </w:pPr>
      <w:r>
        <w:rPr>
          <w:rFonts w:ascii="Arial" w:cs="Arial" w:eastAsia="Arial" w:hAnsi="Arial"/>
          <w:sz w:val="20"/>
          <w:szCs w:val="20"/>
        </w:rPr>
        <w:t xml:space="preserve">Traffic shaping: Bandwidth reservations are configured on all MPLS circuits — 30% reserved for CUI/classified flows, 40% for general enterprise, 20% for OT telemetry, and 10% for management traffic.</w:t>
      </w:r>
    </w:p>
    <w:p>
      <w:pPr>
        <w:pStyle w:val="ListParagraph"/>
        <w:numPr>
          <w:ilvl w:val="0"/>
          <w:numId w:val="2"/>
        </w:numPr>
        <w:spacing w:after="80"/>
      </w:pPr>
      <w:r>
        <w:rPr>
          <w:rFonts w:ascii="Arial" w:cs="Arial" w:eastAsia="Arial" w:hAnsi="Arial"/>
          <w:sz w:val="20"/>
          <w:szCs w:val="20"/>
        </w:rPr>
        <w:t xml:space="preserve">Monitoring SLAs: NMS polling tracks latency (target &lt;50ms inter-hub), jitter (target &lt;10ms), and packet loss (target &lt;0.1%) across all WAN links, with automated alerting on threshold violations.</w:t>
      </w:r>
    </w:p>
    <w:p>
      <w:pPr>
        <w:spacing w:after="120"/>
      </w:pPr>
    </w:p>
    <w:p>
      <w:pPr>
        <w:pStyle w:val="Heading2"/>
        <w:spacing w:after="120" w:before="280"/>
      </w:pPr>
      <w:r>
        <w:rPr>
          <w:rFonts w:ascii="Arial" w:cs="Arial" w:eastAsia="Arial" w:hAnsi="Arial"/>
          <w:b/>
          <w:bCs/>
          <w:color w:val="2E5FA3"/>
          <w:sz w:val="24"/>
          <w:szCs w:val="24"/>
        </w:rPr>
        <w:t xml:space="preserve">6.4 Change and Incident Management</w:t>
      </w:r>
    </w:p>
    <w:p>
      <w:pPr>
        <w:spacing w:after="120"/>
      </w:pPr>
      <w:r>
        <w:rPr>
          <w:rFonts w:ascii="Arial" w:cs="Arial" w:eastAsia="Arial" w:hAnsi="Arial"/>
          <w:sz w:val="20"/>
          <w:szCs w:val="20"/>
        </w:rPr>
        <w:t xml:space="preserve">The topology supports structured network change and incident management through the following operational procedures:</w:t>
      </w:r>
    </w:p>
    <w:p>
      <w:pPr>
        <w:spacing w:after="120"/>
      </w:pPr>
    </w:p>
    <w:p>
      <w:pPr>
        <w:pStyle w:val="ListParagraph"/>
        <w:numPr>
          <w:ilvl w:val="0"/>
          <w:numId w:val="3"/>
        </w:numPr>
        <w:spacing w:after="80"/>
      </w:pPr>
      <w:r>
        <w:rPr>
          <w:rFonts w:ascii="Arial" w:cs="Arial" w:eastAsia="Arial" w:hAnsi="Arial"/>
          <w:sz w:val="20"/>
          <w:szCs w:val="20"/>
        </w:rPr>
        <w:t xml:space="preserve">Change Request: All network changes submitted via ITSM ticketing system (ServiceNow), classified by risk tier (Standard, Normal, Emergency).</w:t>
      </w:r>
    </w:p>
    <w:p>
      <w:pPr>
        <w:pStyle w:val="ListParagraph"/>
        <w:numPr>
          <w:ilvl w:val="0"/>
          <w:numId w:val="3"/>
        </w:numPr>
        <w:spacing w:after="80"/>
      </w:pPr>
      <w:r>
        <w:rPr>
          <w:rFonts w:ascii="Arial" w:cs="Arial" w:eastAsia="Arial" w:hAnsi="Arial"/>
          <w:sz w:val="20"/>
          <w:szCs w:val="20"/>
        </w:rPr>
        <w:t xml:space="preserve">Peer Review: Changes to firewall rules, routing policies, or VLAN configurations require two-engineer approval with SOC sign-off.</w:t>
      </w:r>
    </w:p>
    <w:p>
      <w:pPr>
        <w:pStyle w:val="ListParagraph"/>
        <w:numPr>
          <w:ilvl w:val="0"/>
          <w:numId w:val="3"/>
        </w:numPr>
        <w:spacing w:after="80"/>
      </w:pPr>
      <w:r>
        <w:rPr>
          <w:rFonts w:ascii="Arial" w:cs="Arial" w:eastAsia="Arial" w:hAnsi="Arial"/>
          <w:sz w:val="20"/>
          <w:szCs w:val="20"/>
        </w:rPr>
        <w:t xml:space="preserve">Change Window: Non-emergency changes executed during approved maintenance windows (Saturdays 02:00–06:00 Eastern), with rollback plans documented before execution.</w:t>
      </w:r>
    </w:p>
    <w:p>
      <w:pPr>
        <w:pStyle w:val="ListParagraph"/>
        <w:numPr>
          <w:ilvl w:val="0"/>
          <w:numId w:val="3"/>
        </w:numPr>
        <w:spacing w:after="80"/>
      </w:pPr>
      <w:r>
        <w:rPr>
          <w:rFonts w:ascii="Arial" w:cs="Arial" w:eastAsia="Arial" w:hAnsi="Arial"/>
          <w:sz w:val="20"/>
          <w:szCs w:val="20"/>
        </w:rPr>
        <w:t xml:space="preserve">Incident Detection: SIEM correlation rules and NMS threshold alerts trigger SOC analyst review. P1 incidents escalate to the Network Engineering lead within 15 minutes.</w:t>
      </w:r>
    </w:p>
    <w:p>
      <w:pPr>
        <w:pStyle w:val="ListParagraph"/>
        <w:numPr>
          <w:ilvl w:val="0"/>
          <w:numId w:val="3"/>
        </w:numPr>
        <w:spacing w:after="80"/>
      </w:pPr>
      <w:r>
        <w:rPr>
          <w:rFonts w:ascii="Arial" w:cs="Arial" w:eastAsia="Arial" w:hAnsi="Arial"/>
          <w:sz w:val="20"/>
          <w:szCs w:val="20"/>
        </w:rPr>
        <w:t xml:space="preserve">Incident Containment: SOC can remotely isolate any WAN node or VLAN segment via the NGFW management console within minutes, leveraging the hub-spoke architecture for rapid policy push.</w:t>
      </w:r>
    </w:p>
    <w:p>
      <w:pPr>
        <w:pStyle w:val="ListParagraph"/>
        <w:numPr>
          <w:ilvl w:val="0"/>
          <w:numId w:val="3"/>
        </w:numPr>
        <w:spacing w:after="80"/>
      </w:pPr>
      <w:r>
        <w:rPr>
          <w:rFonts w:ascii="Arial" w:cs="Arial" w:eastAsia="Arial" w:hAnsi="Arial"/>
          <w:sz w:val="20"/>
          <w:szCs w:val="20"/>
        </w:rPr>
        <w:t xml:space="preserve">Post-Incident Review: All P1/P2 incidents generate a mandatory post-incident report with root cause analysis, timeline, and corrective action items tracked in ServiceNow.</w:t>
      </w:r>
    </w:p>
    <w:p>
      <w:pPr>
        <w:spacing w:after="120"/>
      </w:pPr>
    </w:p>
    <w:p>
      <w:r>
        <w:br w:type="page"/>
      </w:r>
    </w:p>
    <w:p>
      <w:pPr>
        <w:pStyle w:val="Heading1"/>
        <w:pBdr>
          <w:bottom w:val="single" w:color="1B3A6B" w:sz="8" w:space="4"/>
        </w:pBdr>
        <w:spacing w:after="160" w:before="400"/>
      </w:pPr>
      <w:r>
        <w:rPr>
          <w:rFonts w:ascii="Arial" w:cs="Arial" w:eastAsia="Arial" w:hAnsi="Arial"/>
          <w:b/>
          <w:bCs/>
          <w:color w:val="1B3A6B"/>
          <w:sz w:val="30"/>
          <w:szCs w:val="30"/>
        </w:rPr>
        <w:t xml:space="preserve">7. Residual Risks and Mitigations</w:t>
      </w:r>
    </w:p>
    <w:p>
      <w:pPr>
        <w:spacing w:after="120"/>
      </w:pPr>
      <w:r>
        <w:rPr>
          <w:rFonts w:ascii="Arial" w:cs="Arial" w:eastAsia="Arial" w:hAnsi="Arial"/>
          <w:sz w:val="20"/>
          <w:szCs w:val="20"/>
        </w:rPr>
        <w:t xml:space="preserve">No network topology is without residual risk. The following table identifies key residual risks associated with the Collins Aerospace WAN design, along with mitigating controls and risk owners.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60"/>
        <w:gridCol w:w="900"/>
        <w:gridCol w:w="900"/>
        <w:gridCol w:w="2400"/>
        <w:gridCol w:w="2000"/>
      </w:tblGrid>
      <w:tr>
        <w:tc>
          <w:tcPr>
            <w:tcW w:type="dxa" w:w="600"/>
            <w:tcBorders>
              <w:top w:val="single" w:color="1B3A6B" w:sz="1"/>
              <w:left w:val="single" w:color="1B3A6B" w:sz="1"/>
              <w:bottom w:val="single" w:color="1B3A6B" w:sz="1"/>
              <w:right w:val="single" w:color="1B3A6B" w:sz="1"/>
            </w:tcBorders>
            <w:shd w:fill="0D2240" w:val="clear"/>
            <w:tcMar>
              <w:top w:type="dxa" w:w="90"/>
              <w:left w:type="dxa" w:w="120"/>
              <w:bottom w:type="dxa" w:w="90"/>
              <w:right w:type="dxa" w:w="120"/>
            </w:tcMar>
          </w:tcPr>
          <w:p>
            <w:r>
              <w:rPr>
                <w:rFonts w:ascii="Arial" w:cs="Arial" w:eastAsia="Arial" w:hAnsi="Arial"/>
                <w:b/>
                <w:bCs/>
                <w:color w:val="FFFFFF"/>
                <w:sz w:val="18"/>
                <w:szCs w:val="18"/>
              </w:rPr>
              <w:t xml:space="preserve">ID</w:t>
            </w:r>
          </w:p>
        </w:tc>
        <w:tc>
          <w:tcPr>
            <w:tcW w:type="dxa" w:w="2560"/>
            <w:tcBorders>
              <w:top w:val="single" w:color="1B3A6B" w:sz="1"/>
              <w:left w:val="single" w:color="1B3A6B" w:sz="1"/>
              <w:bottom w:val="single" w:color="1B3A6B" w:sz="1"/>
              <w:right w:val="single" w:color="1B3A6B" w:sz="1"/>
            </w:tcBorders>
            <w:shd w:fill="0D2240" w:val="clear"/>
            <w:tcMar>
              <w:top w:type="dxa" w:w="90"/>
              <w:left w:type="dxa" w:w="120"/>
              <w:bottom w:type="dxa" w:w="90"/>
              <w:right w:type="dxa" w:w="120"/>
            </w:tcMar>
          </w:tcPr>
          <w:p>
            <w:r>
              <w:rPr>
                <w:rFonts w:ascii="Arial" w:cs="Arial" w:eastAsia="Arial" w:hAnsi="Arial"/>
                <w:b/>
                <w:bCs/>
                <w:color w:val="FFFFFF"/>
                <w:sz w:val="18"/>
                <w:szCs w:val="18"/>
              </w:rPr>
              <w:t xml:space="preserve">Risk Description</w:t>
            </w:r>
          </w:p>
        </w:tc>
        <w:tc>
          <w:tcPr>
            <w:tcW w:type="dxa" w:w="900"/>
            <w:tcBorders>
              <w:top w:val="single" w:color="1B3A6B" w:sz="1"/>
              <w:left w:val="single" w:color="1B3A6B" w:sz="1"/>
              <w:bottom w:val="single" w:color="1B3A6B" w:sz="1"/>
              <w:right w:val="single" w:color="1B3A6B" w:sz="1"/>
            </w:tcBorders>
            <w:shd w:fill="0D2240" w:val="clear"/>
            <w:tcMar>
              <w:top w:type="dxa" w:w="90"/>
              <w:left w:type="dxa" w:w="120"/>
              <w:bottom w:type="dxa" w:w="90"/>
              <w:right w:type="dxa" w:w="120"/>
            </w:tcMar>
          </w:tcPr>
          <w:p>
            <w:r>
              <w:rPr>
                <w:rFonts w:ascii="Arial" w:cs="Arial" w:eastAsia="Arial" w:hAnsi="Arial"/>
                <w:b/>
                <w:bCs/>
                <w:color w:val="FFFFFF"/>
                <w:sz w:val="18"/>
                <w:szCs w:val="18"/>
              </w:rPr>
              <w:t xml:space="preserve">Likelihood</w:t>
            </w:r>
          </w:p>
        </w:tc>
        <w:tc>
          <w:tcPr>
            <w:tcW w:type="dxa" w:w="900"/>
            <w:tcBorders>
              <w:top w:val="single" w:color="1B3A6B" w:sz="1"/>
              <w:left w:val="single" w:color="1B3A6B" w:sz="1"/>
              <w:bottom w:val="single" w:color="1B3A6B" w:sz="1"/>
              <w:right w:val="single" w:color="1B3A6B" w:sz="1"/>
            </w:tcBorders>
            <w:shd w:fill="0D2240" w:val="clear"/>
            <w:tcMar>
              <w:top w:type="dxa" w:w="90"/>
              <w:left w:type="dxa" w:w="120"/>
              <w:bottom w:type="dxa" w:w="90"/>
              <w:right w:type="dxa" w:w="120"/>
            </w:tcMar>
          </w:tcPr>
          <w:p>
            <w:r>
              <w:rPr>
                <w:rFonts w:ascii="Arial" w:cs="Arial" w:eastAsia="Arial" w:hAnsi="Arial"/>
                <w:b/>
                <w:bCs/>
                <w:color w:val="FFFFFF"/>
                <w:sz w:val="18"/>
                <w:szCs w:val="18"/>
              </w:rPr>
              <w:t xml:space="preserve">Impact</w:t>
            </w:r>
          </w:p>
        </w:tc>
        <w:tc>
          <w:tcPr>
            <w:tcW w:type="dxa" w:w="2400"/>
            <w:tcBorders>
              <w:top w:val="single" w:color="1B3A6B" w:sz="1"/>
              <w:left w:val="single" w:color="1B3A6B" w:sz="1"/>
              <w:bottom w:val="single" w:color="1B3A6B" w:sz="1"/>
              <w:right w:val="single" w:color="1B3A6B" w:sz="1"/>
            </w:tcBorders>
            <w:shd w:fill="0D2240" w:val="clear"/>
            <w:tcMar>
              <w:top w:type="dxa" w:w="90"/>
              <w:left w:type="dxa" w:w="120"/>
              <w:bottom w:type="dxa" w:w="90"/>
              <w:right w:type="dxa" w:w="120"/>
            </w:tcMar>
          </w:tcPr>
          <w:p>
            <w:r>
              <w:rPr>
                <w:rFonts w:ascii="Arial" w:cs="Arial" w:eastAsia="Arial" w:hAnsi="Arial"/>
                <w:b/>
                <w:bCs/>
                <w:color w:val="FFFFFF"/>
                <w:sz w:val="18"/>
                <w:szCs w:val="18"/>
              </w:rPr>
              <w:t xml:space="preserve">Mitigation</w:t>
            </w:r>
          </w:p>
        </w:tc>
        <w:tc>
          <w:tcPr>
            <w:tcW w:type="dxa" w:w="2000"/>
            <w:tcBorders>
              <w:top w:val="single" w:color="1B3A6B" w:sz="1"/>
              <w:left w:val="single" w:color="1B3A6B" w:sz="1"/>
              <w:bottom w:val="single" w:color="1B3A6B" w:sz="1"/>
              <w:right w:val="single" w:color="1B3A6B" w:sz="1"/>
            </w:tcBorders>
            <w:shd w:fill="0D2240" w:val="clear"/>
            <w:tcMar>
              <w:top w:type="dxa" w:w="90"/>
              <w:left w:type="dxa" w:w="120"/>
              <w:bottom w:type="dxa" w:w="90"/>
              <w:right w:type="dxa" w:w="120"/>
            </w:tcMar>
          </w:tcPr>
          <w:p>
            <w:r>
              <w:rPr>
                <w:rFonts w:ascii="Arial" w:cs="Arial" w:eastAsia="Arial" w:hAnsi="Arial"/>
                <w:b/>
                <w:bCs/>
                <w:color w:val="FFFFFF"/>
                <w:sz w:val="18"/>
                <w:szCs w:val="18"/>
              </w:rPr>
              <w:t xml:space="preserve">Owner</w:t>
            </w:r>
          </w:p>
        </w:tc>
      </w:tr>
      <w:tr>
        <w:tc>
          <w:tcPr>
            <w:tcW w:type="dxa" w:w="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R-01</w:t>
            </w:r>
          </w:p>
        </w:tc>
        <w:tc>
          <w:tcPr>
            <w:tcW w:type="dxa" w:w="2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SD-WAN vendor compromise exposing WAN orchestration</w:t>
            </w:r>
          </w:p>
        </w:tc>
        <w:tc>
          <w:tcPr>
            <w:tcW w:type="dxa" w:w="90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pPr>
              <w:jc w:val="center"/>
            </w:pPr>
            <w:r>
              <w:rPr>
                <w:rFonts w:ascii="Arial" w:cs="Arial" w:eastAsia="Arial" w:hAnsi="Arial"/>
                <w:b/>
                <w:bCs/>
                <w:color w:val="166534"/>
                <w:sz w:val="18"/>
                <w:szCs w:val="18"/>
              </w:rPr>
              <w:t xml:space="preserve">Low</w:t>
            </w:r>
          </w:p>
        </w:tc>
        <w:tc>
          <w:tcPr>
            <w:tcW w:type="dxa" w:w="90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pPr>
              <w:jc w:val="center"/>
            </w:pPr>
            <w:r>
              <w:rPr>
                <w:rFonts w:ascii="Arial" w:cs="Arial" w:eastAsia="Arial" w:hAnsi="Arial"/>
                <w:b/>
                <w:bCs/>
                <w:color w:val="991B1B"/>
                <w:sz w:val="18"/>
                <w:szCs w:val="18"/>
              </w:rPr>
              <w:t xml:space="preserve">Critical</w:t>
            </w:r>
          </w:p>
        </w:tc>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Vendor risk assessment; signed firmware; isolated mgmt VLAN</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CISO / Vendor Mgmt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R-02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BGP route hijacking on Internet failover path</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D97706"/>
                <w:sz w:val="18"/>
                <w:szCs w:val="18"/>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C05621"/>
                <w:sz w:val="18"/>
                <w:szCs w:val="18"/>
              </w:rPr>
              <w:t xml:space="preserve">High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RPKI route origin validation; BGP prefix filtering; monitoring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Network Engineering</w:t>
            </w:r>
          </w:p>
        </w:tc>
      </w:tr>
      <w:tr>
        <w:tc>
          <w:tcPr>
            <w:tcW w:type="dxa" w:w="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R-03</w:t>
            </w:r>
          </w:p>
        </w:tc>
        <w:tc>
          <w:tcPr>
            <w:tcW w:type="dxa" w:w="2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CUI data exfiltration via misconfigured VLAN trunk</w:t>
            </w:r>
          </w:p>
        </w:tc>
        <w:tc>
          <w:tcPr>
            <w:tcW w:type="dxa" w:w="90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pPr>
              <w:jc w:val="center"/>
            </w:pPr>
            <w:r>
              <w:rPr>
                <w:rFonts w:ascii="Arial" w:cs="Arial" w:eastAsia="Arial" w:hAnsi="Arial"/>
                <w:b/>
                <w:bCs/>
                <w:color w:val="166534"/>
                <w:sz w:val="18"/>
                <w:szCs w:val="18"/>
              </w:rPr>
              <w:t xml:space="preserve">Low</w:t>
            </w:r>
          </w:p>
        </w:tc>
        <w:tc>
          <w:tcPr>
            <w:tcW w:type="dxa" w:w="90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pPr>
              <w:jc w:val="center"/>
            </w:pPr>
            <w:r>
              <w:rPr>
                <w:rFonts w:ascii="Arial" w:cs="Arial" w:eastAsia="Arial" w:hAnsi="Arial"/>
                <w:b/>
                <w:bCs/>
                <w:color w:val="991B1B"/>
                <w:sz w:val="18"/>
                <w:szCs w:val="18"/>
              </w:rPr>
              <w:t xml:space="preserve">Critical</w:t>
            </w:r>
          </w:p>
        </w:tc>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Quarterly VLAN audit; DLP on VLAN 10 egress; automated config checks</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SOC / NetEng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R-04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Carrier MPLS outage affecting multiple primary links</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D97706"/>
                <w:sz w:val="18"/>
                <w:szCs w:val="18"/>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C05621"/>
                <w:sz w:val="18"/>
                <w:szCs w:val="18"/>
              </w:rPr>
              <w:t xml:space="preserve">High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Dual-carrier strategy for L-02/L-03; SD-WAN automatic failover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Network Engineering</w:t>
            </w:r>
          </w:p>
        </w:tc>
      </w:tr>
      <w:tr>
        <w:tc>
          <w:tcPr>
            <w:tcW w:type="dxa" w:w="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R-05</w:t>
            </w:r>
          </w:p>
        </w:tc>
        <w:tc>
          <w:tcPr>
            <w:tcW w:type="dxa" w:w="2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Insider threat accessing SOC management systems</w:t>
            </w:r>
          </w:p>
        </w:tc>
        <w:tc>
          <w:tcPr>
            <w:tcW w:type="dxa" w:w="90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pPr>
              <w:jc w:val="center"/>
            </w:pPr>
            <w:r>
              <w:rPr>
                <w:rFonts w:ascii="Arial" w:cs="Arial" w:eastAsia="Arial" w:hAnsi="Arial"/>
                <w:b/>
                <w:bCs/>
                <w:color w:val="166534"/>
                <w:sz w:val="18"/>
                <w:szCs w:val="18"/>
              </w:rPr>
              <w:t xml:space="preserve">Low</w:t>
            </w:r>
          </w:p>
        </w:tc>
        <w:tc>
          <w:tcPr>
            <w:tcW w:type="dxa" w:w="900"/>
            <w:tcBorders>
              <w:top w:val="single" w:color="CCCCCC" w:sz="1"/>
              <w:left w:val="single" w:color="CCCCCC" w:sz="1"/>
              <w:bottom w:val="single" w:color="CCCCCC" w:sz="1"/>
              <w:right w:val="single" w:color="CCCCCC" w:sz="1"/>
            </w:tcBorders>
            <w:shd w:fill="F5F6FA" w:val="clear"/>
            <w:tcMar>
              <w:top w:type="dxa" w:w="80"/>
              <w:left w:type="dxa" w:w="100"/>
              <w:bottom w:type="dxa" w:w="80"/>
              <w:right w:type="dxa" w:w="100"/>
            </w:tcMar>
          </w:tcPr>
          <w:p>
            <w:pPr>
              <w:jc w:val="center"/>
            </w:pPr>
            <w:r>
              <w:rPr>
                <w:rFonts w:ascii="Arial" w:cs="Arial" w:eastAsia="Arial" w:hAnsi="Arial"/>
                <w:b/>
                <w:bCs/>
                <w:color w:val="C05621"/>
                <w:sz w:val="18"/>
                <w:szCs w:val="18"/>
              </w:rPr>
              <w:t xml:space="preserve">High</w:t>
            </w:r>
          </w:p>
        </w:tc>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PAM controls; session recording; anomaly detection on VLAN 40</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sz w:val="18"/>
                <w:szCs w:val="18"/>
              </w:rPr>
              <w:t xml:space="preserve">SOC / HR Security</w:t>
            </w:r>
          </w:p>
        </w:tc>
      </w:tr>
    </w:tbl>
    <w:p>
      <w:pPr>
        <w:spacing w:after="120"/>
      </w:pPr>
    </w:p>
    <w:p>
      <w:r>
        <w:br w:type="page"/>
      </w:r>
    </w:p>
    <w:p>
      <w:pPr>
        <w:pStyle w:val="Heading1"/>
        <w:pBdr>
          <w:bottom w:val="single" w:color="1B3A6B" w:sz="8" w:space="4"/>
        </w:pBdr>
        <w:spacing w:after="160" w:before="400"/>
      </w:pPr>
      <w:r>
        <w:rPr>
          <w:rFonts w:ascii="Arial" w:cs="Arial" w:eastAsia="Arial" w:hAnsi="Arial"/>
          <w:b/>
          <w:bCs/>
          <w:color w:val="1B3A6B"/>
          <w:sz w:val="30"/>
          <w:szCs w:val="30"/>
        </w:rPr>
        <w:t xml:space="preserve">8. Conclusion</w:t>
      </w:r>
    </w:p>
    <w:p>
      <w:pPr>
        <w:spacing w:after="120"/>
      </w:pPr>
      <w:r>
        <w:rPr>
          <w:rFonts w:ascii="Arial" w:cs="Arial" w:eastAsia="Arial" w:hAnsi="Arial"/>
          <w:sz w:val="20"/>
          <w:szCs w:val="20"/>
        </w:rPr>
        <w:t xml:space="preserve">The Collins Aerospace Wide Area Network, designed as a Hybrid Star-Mesh topology, represents a security-first enterprise network architecture purpose-built for the demands of a defense and aerospace contractor. The design successfully addresses the core requirements of the Trinity Project scenario: multi-site connectivity, CUI data protection, regulatory compliance, operational resilience, and centralized network management.</w:t>
      </w:r>
    </w:p>
    <w:p>
      <w:pPr>
        <w:spacing w:after="120"/>
      </w:pPr>
    </w:p>
    <w:p>
      <w:pPr>
        <w:spacing w:after="120"/>
      </w:pPr>
      <w:r>
        <w:rPr>
          <w:rFonts w:ascii="Arial" w:cs="Arial" w:eastAsia="Arial" w:hAnsi="Arial"/>
          <w:sz w:val="20"/>
          <w:szCs w:val="20"/>
        </w:rPr>
        <w:t xml:space="preserve">The Hybrid Star-Mesh model was selected over alternatives (pure star, ring, or full mesh) because it achieves the optimal balance of resilience, cost-efficiency, and administrative control. The centralized hub model at N-01 enables consistent security policy enforcement, SOC visibility, and SD-WAN orchestration across all six sites, while redundant inter-hub meshing ensures that no single link or device failure can isolate critical operations or blind the SOC.</w:t>
      </w:r>
    </w:p>
    <w:p>
      <w:pPr>
        <w:spacing w:after="120"/>
      </w:pPr>
    </w:p>
    <w:p>
      <w:pPr>
        <w:spacing w:after="120"/>
      </w:pPr>
      <w:r>
        <w:rPr>
          <w:rFonts w:ascii="Arial" w:cs="Arial" w:eastAsia="Arial" w:hAnsi="Arial"/>
          <w:sz w:val="20"/>
          <w:szCs w:val="20"/>
        </w:rPr>
        <w:t xml:space="preserve">Security is embedded at every layer of the WAN design — from AES-256 IPsec encryption on all inter-site links, to granular VLAN segmentation isolating CUI and OT environments, to Zero Trust Network Access replacing legacy VPN exposure. These controls collectively satisfy the requirements of NIST SP 800-171, CMMC 2.0 Level 2, and ITAR — the three primary compliance frameworks governing Collins Aerospace's operations.</w:t>
      </w:r>
    </w:p>
    <w:p>
      <w:pPr>
        <w:spacing w:after="120"/>
      </w:pPr>
    </w:p>
    <w:p>
      <w:pPr>
        <w:spacing w:after="120"/>
      </w:pPr>
      <w:r>
        <w:rPr>
          <w:rFonts w:ascii="Arial" w:cs="Arial" w:eastAsia="Arial" w:hAnsi="Arial"/>
          <w:sz w:val="20"/>
          <w:szCs w:val="20"/>
        </w:rPr>
        <w:t xml:space="preserve">From a network management perspective, the centralized hub architecture enables comprehensive visibility through SolarWinds NMS and Splunk SIEM, automated change management through Ansible with GitOps, and structured incident response procedures supported by the hub's ability to rapidly push policy changes to all spoke nodes.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OUTCOME</w:t>
            </w:r>
          </w:p>
        </w:tc>
        <w:tc>
          <w:tcPr>
            <w:tcW w:type="dxa" w:w="7920"/>
            <w:tcBorders>
              <w:top w:val="single" w:color="1B3A6B" w:sz="1"/>
              <w:left w:val="single" w:color="1B3A6B" w:sz="1"/>
              <w:bottom w:val="single" w:color="1B3A6B" w:sz="1"/>
              <w:right w:val="single" w:color="1B3A6B" w:sz="1"/>
            </w:tcBorders>
            <w:shd w:fill="DCFCE7" w:val="clear"/>
            <w:tcMar>
              <w:top w:type="dxa" w:w="100"/>
              <w:left w:type="dxa" w:w="140"/>
              <w:bottom w:type="dxa" w:w="100"/>
              <w:right w:type="dxa" w:w="140"/>
            </w:tcMar>
          </w:tcPr>
          <w:p>
            <w:r>
              <w:rPr>
                <w:rFonts w:ascii="Arial" w:cs="Arial" w:eastAsia="Arial" w:hAnsi="Arial"/>
                <w:sz w:val="19"/>
                <w:szCs w:val="19"/>
              </w:rPr>
              <w:t xml:space="preserve">The Collins Aerospace WAN topology demonstrates that enterprise-scale WAN design is inherently a security discipline — and that topology choices made at the architecture level have direct, measurable impacts on an organization's security posture, resilience, and compliance standing.</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D6E4F0" w:val="clear"/>
            <w:tcMar>
              <w:top w:type="dxa" w:w="140"/>
              <w:left w:type="dxa" w:w="200"/>
              <w:bottom w:type="dxa" w:w="140"/>
              <w:right w:type="dxa" w:w="200"/>
            </w:tcMar>
          </w:tcPr>
          <w:p>
            <w:r>
              <w:rPr>
                <w:rFonts w:ascii="Arial" w:cs="Arial" w:eastAsia="Arial" w:hAnsi="Arial"/>
                <w:b/>
                <w:bCs/>
                <w:color w:val="1B3A6B"/>
                <w:sz w:val="20"/>
                <w:szCs w:val="20"/>
              </w:rPr>
              <w:t xml:space="preserve">Document Control</w:t>
            </w:r>
          </w:p>
          <w:p>
            <w:pPr>
              <w:spacing w:after="120"/>
            </w:pPr>
          </w:p>
          <w:p>
            <w:r>
              <w:rPr>
                <w:rFonts w:ascii="Arial" w:cs="Arial" w:eastAsia="Arial" w:hAnsi="Arial"/>
                <w:sz w:val="18"/>
                <w:szCs w:val="18"/>
              </w:rPr>
              <w:t xml:space="preserve">Version: 1.0  |  Status: Final  |  Date: April 2026</w:t>
            </w:r>
          </w:p>
          <w:p>
            <w:r>
              <w:rPr>
                <w:rFonts w:ascii="Arial" w:cs="Arial" w:eastAsia="Arial" w:hAnsi="Arial"/>
                <w:sz w:val="18"/>
                <w:szCs w:val="18"/>
              </w:rPr>
              <w:t xml:space="preserve">Author: DAE Cybersecurity Program  |  Classification: Confidential — Internal Use Only</w:t>
            </w:r>
          </w:p>
          <w:p>
            <w:r>
              <w:rPr>
                <w:rFonts w:ascii="Arial" w:cs="Arial" w:eastAsia="Arial" w:hAnsi="Arial"/>
                <w:i/>
                <w:iCs/>
                <w:sz w:val="17"/>
                <w:szCs w:val="17"/>
              </w:rPr>
              <w:t xml:space="preserve">This document is produced for educational and program assessment purposes within the DAE Cybersecurity &amp; Networking curriculum. The Collins Aerospace scenario is used as a realistic organizational context for applied learning.</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80"/>
    </w:pPr>
    <w:r>
      <w:rPr>
        <w:rFonts w:ascii="Arial" w:cs="Arial" w:eastAsia="Arial" w:hAnsi="Arial"/>
        <w:color w:val="374151"/>
        <w:sz w:val="16"/>
        <w:szCs w:val="16"/>
      </w:rPr>
      <w:t xml:space="preserve">DAE Cybersecurity Program  |  April 2026</w:t>
    </w:r>
    <w:r>
      <w:rPr>
        <w:rFonts w:ascii="Arial" w:cs="Arial" w:eastAsia="Arial" w:hAnsi="Arial"/>
        <w:color w:val="374151"/>
        <w:sz w:val="16"/>
        <w:szCs w:val="16"/>
      </w:rPr>
      <w:t xml:space="preserve">	Page </w:t>
    </w:r>
    <w:r>
      <w:rPr>
        <w:rFonts w:ascii="Arial" w:cs="Arial" w:eastAsia="Arial" w:hAnsi="Arial"/>
        <w:color w:val="37415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tabs>
        <w:tab w:val="right" w:pos="9026"/>
      </w:tabs>
      <w:spacing w:after="80"/>
    </w:pPr>
    <w:r>
      <w:rPr>
        <w:rFonts w:ascii="Arial" w:cs="Arial" w:eastAsia="Arial" w:hAnsi="Arial"/>
        <w:b/>
        <w:bCs/>
        <w:color w:val="1B3A6B"/>
        <w:sz w:val="16"/>
        <w:szCs w:val="16"/>
      </w:rPr>
      <w:t xml:space="preserve">TRINITY PROJECT  |  Collins Aerospace WAN Topology Report</w:t>
    </w:r>
    <w:r>
      <w:rPr>
        <w:rFonts w:ascii="Arial" w:cs="Arial" w:eastAsia="Arial" w:hAnsi="Arial"/>
        <w:color w:val="374151"/>
        <w:sz w:val="16"/>
        <w:szCs w:val="16"/>
      </w:rPr>
      <w:t xml:space="preserve">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abstractNum w:abstractNumId="3" w15:restartNumberingAfterBreak="0">
    <w:multiLevelType w:val="hybridMultilevel"/>
    <w:lvl w:ilvl="0" w15:tentative="1">
      <w:start w:val="1"/>
      <w:numFmt w:val="decimal"/>
      <w:lvlText w:val="%1."/>
      <w:lvlJc w:val="left"/>
      <w:pPr>
        <w:spacing w:after="8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0"/>
      <w:szCs w:val="30"/>
    </w:rPr>
  </w:style>
  <w:style w:type="paragraph" w:styleId="Heading2">
    <w:name w:val="Heading 2"/>
    <w:basedOn w:val="Normal"/>
    <w:next w:val="Normal"/>
    <w:qFormat/>
    <w:pPr>
      <w:spacing w:after="120" w:before="280"/>
      <w:outlineLvl w:val="1"/>
    </w:pPr>
    <w:rPr>
      <w:rFonts w:ascii="Arial" w:cs="Arial" w:eastAsia="Arial" w:hAnsi="Arial"/>
      <w:b/>
      <w:bCs/>
      <w:sz w:val="24"/>
      <w:szCs w:val="24"/>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2026-04-29T17:27:03.649Z</dcterms:created>
  <dcterms:modified xsi:type="dcterms:W3CDTF">2026-04-29T17:27:03.650Z</dcterms:modified>
</cp:coreProperties>
</file>

<file path=docProps/custom.xml><?xml version="1.0" encoding="utf-8"?>
<Properties xmlns="http://schemas.openxmlformats.org/officeDocument/2006/custom-properties" xmlns:vt="http://schemas.openxmlformats.org/officeDocument/2006/docPropsVTypes"/>
</file>