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p>
    <w:p>
      <w:pPr>
        <w:spacing w:after="60"/>
        <w:jc w:val="center"/>
      </w:pPr>
      <w:r>
        <w:rPr>
          <w:rFonts w:ascii="Arial" w:cs="Arial" w:eastAsia="Arial" w:hAnsi="Arial"/>
          <w:b/>
          <w:bCs/>
          <w:caps/>
          <w:color w:val="9B1C1C"/>
          <w:sz w:val="22"/>
          <w:szCs w:val="22"/>
        </w:rPr>
        <w:t xml:space="preserve">TRINITY PROJECT</w:t>
      </w:r>
    </w:p>
    <w:p>
      <w:pPr>
        <w:pBdr>
          <w:bottom w:val="single" w:color="B8860B" w:sz="12" w:space="6"/>
        </w:pBdr>
        <w:spacing w:after="60"/>
        <w:jc w:val="center"/>
      </w:pPr>
      <w:r>
        <w:rPr>
          <w:rFonts w:ascii="Arial" w:cs="Arial" w:eastAsia="Arial" w:hAnsi="Arial"/>
          <w:b/>
          <w:bCs/>
          <w:color w:val="0A0A0A"/>
          <w:sz w:val="48"/>
          <w:szCs w:val="48"/>
        </w:rPr>
        <w:t xml:space="preserve">Access Control Measures</w:t>
      </w:r>
    </w:p>
    <w:p>
      <w:pPr>
        <w:pBdr>
          <w:top w:val="single" w:color="B8860B" w:sz="4" w:space="4"/>
        </w:pBdr>
        <w:spacing w:after="60"/>
        <w:jc w:val="center"/>
      </w:pPr>
      <w:r>
        <w:rPr>
          <w:rFonts w:ascii="Arial" w:cs="Arial" w:eastAsia="Arial" w:hAnsi="Arial"/>
          <w:b/>
          <w:bCs/>
          <w:color w:val="1F2937"/>
          <w:sz w:val="28"/>
          <w:szCs w:val="28"/>
        </w:rPr>
        <w:t xml:space="preserve">Implementation Report</w:t>
      </w:r>
    </w:p>
    <w:p>
      <w:pPr>
        <w:spacing w:after="140"/>
      </w:pPr>
    </w:p>
    <w:p>
      <w:pPr>
        <w:spacing w:after="40"/>
        <w:jc w:val="center"/>
      </w:pPr>
      <w:r>
        <w:rPr>
          <w:rFonts w:ascii="Arial" w:cs="Arial" w:eastAsia="Arial" w:hAnsi="Arial"/>
          <w:color w:val="374151"/>
          <w:sz w:val="20"/>
          <w:szCs w:val="20"/>
        </w:rPr>
        <w:t xml:space="preserve">ACL Configuration  |  Access Control Model  |  User Access Levels</w:t>
      </w:r>
    </w:p>
    <w:p>
      <w:pPr>
        <w:spacing w:after="28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c>
          <w:tcPr>
            <w:tcW w:type="dxa" w:w="2400"/>
            <w:tcBorders>
              <w:top w:val="single" w:color="B8860B" w:sz="1"/>
              <w:left w:val="single" w:color="B8860B" w:sz="1"/>
              <w:bottom w:val="single" w:color="B8860B" w:sz="1"/>
              <w:right w:val="single" w:color="B8860B" w:sz="1"/>
            </w:tcBorders>
            <w:shd w:fill="0A0A0A" w:val="clear"/>
            <w:tcMar>
              <w:top w:type="dxa" w:w="80"/>
              <w:left w:type="dxa" w:w="140"/>
              <w:bottom w:type="dxa" w:w="80"/>
              <w:right w:type="dxa" w:w="140"/>
            </w:tcMar>
          </w:tcPr>
          <w:p>
            <w:r>
              <w:rPr>
                <w:rFonts w:ascii="Arial" w:cs="Arial" w:eastAsia="Arial" w:hAnsi="Arial"/>
                <w:b/>
                <w:bCs/>
                <w:color w:val="B8860B"/>
                <w:sz w:val="18"/>
                <w:szCs w:val="18"/>
              </w:rPr>
              <w:t xml:space="preserve">Program</w:t>
            </w:r>
          </w:p>
        </w:tc>
        <w:tc>
          <w:tcPr>
            <w:tcW w:type="dxa" w:w="4000"/>
            <w:tcBorders>
              <w:top w:val="single" w:color="B8860B" w:sz="1"/>
              <w:left w:val="single" w:color="B8860B" w:sz="1"/>
              <w:bottom w:val="single" w:color="B8860B" w:sz="1"/>
              <w:right w:val="single" w:color="B8860B" w:sz="1"/>
            </w:tcBorders>
            <w:shd w:fill="F5F6FA" w:val="clear"/>
            <w:tcMar>
              <w:top w:type="dxa" w:w="80"/>
              <w:left w:type="dxa" w:w="140"/>
              <w:bottom w:type="dxa" w:w="80"/>
              <w:right w:type="dxa" w:w="140"/>
            </w:tcMar>
          </w:tcPr>
          <w:p>
            <w:r>
              <w:rPr>
                <w:rFonts w:ascii="Arial" w:cs="Arial" w:eastAsia="Arial" w:hAnsi="Arial"/>
                <w:sz w:val="18"/>
                <w:szCs w:val="18"/>
              </w:rPr>
              <w:t xml:space="preserve">DAE Cybersecurity &amp; Networking</w:t>
            </w:r>
          </w:p>
        </w:tc>
      </w:tr>
      <w:tr>
        <w:tc>
          <w:tcPr>
            <w:tcW w:type="dxa" w:w="2400"/>
            <w:tcBorders>
              <w:top w:val="single" w:color="B8860B" w:sz="1"/>
              <w:left w:val="single" w:color="B8860B" w:sz="1"/>
              <w:bottom w:val="single" w:color="B8860B" w:sz="1"/>
              <w:right w:val="single" w:color="B8860B" w:sz="1"/>
            </w:tcBorders>
            <w:shd w:fill="1F2937" w:val="clear"/>
            <w:tcMar>
              <w:top w:type="dxa" w:w="80"/>
              <w:left w:type="dxa" w:w="140"/>
              <w:bottom w:type="dxa" w:w="80"/>
              <w:right w:type="dxa" w:w="140"/>
            </w:tcMar>
          </w:tcPr>
          <w:p>
            <w:r>
              <w:rPr>
                <w:rFonts w:ascii="Arial" w:cs="Arial" w:eastAsia="Arial" w:hAnsi="Arial"/>
                <w:b/>
                <w:bCs/>
                <w:color w:val="B8860B"/>
                <w:sz w:val="18"/>
                <w:szCs w:val="18"/>
              </w:rPr>
              <w:t xml:space="preserve">Organization</w:t>
            </w:r>
          </w:p>
        </w:tc>
        <w:tc>
          <w:tcPr>
            <w:tcW w:type="dxa" w:w="4000"/>
            <w:tcBorders>
              <w:top w:val="single" w:color="B8860B" w:sz="1"/>
              <w:left w:val="single" w:color="B8860B" w:sz="1"/>
              <w:bottom w:val="single" w:color="B8860B" w:sz="1"/>
              <w:right w:val="single" w:color="B8860B" w:sz="1"/>
            </w:tcBorders>
            <w:shd w:fill="FFFFFF" w:val="clear"/>
            <w:tcMar>
              <w:top w:type="dxa" w:w="80"/>
              <w:left w:type="dxa" w:w="140"/>
              <w:bottom w:type="dxa" w:w="80"/>
              <w:right w:type="dxa" w:w="140"/>
            </w:tcMar>
          </w:tcPr>
          <w:p>
            <w:r>
              <w:rPr>
                <w:rFonts w:ascii="Arial" w:cs="Arial" w:eastAsia="Arial" w:hAnsi="Arial"/>
                <w:sz w:val="18"/>
                <w:szCs w:val="18"/>
              </w:rPr>
              <w:t xml:space="preserve">WWE — World Wrestling Entertainment (Trinity Project Scenario)</w:t>
            </w:r>
          </w:p>
        </w:tc>
      </w:tr>
      <w:tr>
        <w:tc>
          <w:tcPr>
            <w:tcW w:type="dxa" w:w="2400"/>
            <w:tcBorders>
              <w:top w:val="single" w:color="B8860B" w:sz="1"/>
              <w:left w:val="single" w:color="B8860B" w:sz="1"/>
              <w:bottom w:val="single" w:color="B8860B" w:sz="1"/>
              <w:right w:val="single" w:color="B8860B" w:sz="1"/>
            </w:tcBorders>
            <w:shd w:fill="0A0A0A" w:val="clear"/>
            <w:tcMar>
              <w:top w:type="dxa" w:w="80"/>
              <w:left w:type="dxa" w:w="140"/>
              <w:bottom w:type="dxa" w:w="80"/>
              <w:right w:type="dxa" w:w="140"/>
            </w:tcMar>
          </w:tcPr>
          <w:p>
            <w:r>
              <w:rPr>
                <w:rFonts w:ascii="Arial" w:cs="Arial" w:eastAsia="Arial" w:hAnsi="Arial"/>
                <w:b/>
                <w:bCs/>
                <w:color w:val="B8860B"/>
                <w:sz w:val="18"/>
                <w:szCs w:val="18"/>
              </w:rPr>
              <w:t xml:space="preserve">Scope</w:t>
            </w:r>
          </w:p>
        </w:tc>
        <w:tc>
          <w:tcPr>
            <w:tcW w:type="dxa" w:w="4000"/>
            <w:tcBorders>
              <w:top w:val="single" w:color="B8860B" w:sz="1"/>
              <w:left w:val="single" w:color="B8860B" w:sz="1"/>
              <w:bottom w:val="single" w:color="B8860B" w:sz="1"/>
              <w:right w:val="single" w:color="B8860B" w:sz="1"/>
            </w:tcBorders>
            <w:shd w:fill="F5F6FA" w:val="clear"/>
            <w:tcMar>
              <w:top w:type="dxa" w:w="80"/>
              <w:left w:type="dxa" w:w="140"/>
              <w:bottom w:type="dxa" w:w="80"/>
              <w:right w:type="dxa" w:w="140"/>
            </w:tcMar>
          </w:tcPr>
          <w:p>
            <w:r>
              <w:rPr>
                <w:rFonts w:ascii="Arial" w:cs="Arial" w:eastAsia="Arial" w:hAnsi="Arial"/>
                <w:sz w:val="18"/>
                <w:szCs w:val="18"/>
              </w:rPr>
              <w:t xml:space="preserve">ACL  |  Role-Based Access Control (RBAC)  |  User Access Tiers</w:t>
            </w:r>
          </w:p>
        </w:tc>
      </w:tr>
      <w:tr>
        <w:tc>
          <w:tcPr>
            <w:tcW w:type="dxa" w:w="2400"/>
            <w:tcBorders>
              <w:top w:val="single" w:color="B8860B" w:sz="1"/>
              <w:left w:val="single" w:color="B8860B" w:sz="1"/>
              <w:bottom w:val="single" w:color="B8860B" w:sz="1"/>
              <w:right w:val="single" w:color="B8860B" w:sz="1"/>
            </w:tcBorders>
            <w:shd w:fill="1F2937" w:val="clear"/>
            <w:tcMar>
              <w:top w:type="dxa" w:w="80"/>
              <w:left w:type="dxa" w:w="140"/>
              <w:bottom w:type="dxa" w:w="80"/>
              <w:right w:type="dxa" w:w="140"/>
            </w:tcMar>
          </w:tcPr>
          <w:p>
            <w:r>
              <w:rPr>
                <w:rFonts w:ascii="Arial" w:cs="Arial" w:eastAsia="Arial" w:hAnsi="Arial"/>
                <w:b/>
                <w:bCs/>
                <w:color w:val="B8860B"/>
                <w:sz w:val="18"/>
                <w:szCs w:val="18"/>
              </w:rPr>
              <w:t xml:space="preserve">Network Context</w:t>
            </w:r>
          </w:p>
        </w:tc>
        <w:tc>
          <w:tcPr>
            <w:tcW w:type="dxa" w:w="4000"/>
            <w:tcBorders>
              <w:top w:val="single" w:color="B8860B" w:sz="1"/>
              <w:left w:val="single" w:color="B8860B" w:sz="1"/>
              <w:bottom w:val="single" w:color="B8860B" w:sz="1"/>
              <w:right w:val="single" w:color="B8860B" w:sz="1"/>
            </w:tcBorders>
            <w:shd w:fill="FFFFFF" w:val="clear"/>
            <w:tcMar>
              <w:top w:type="dxa" w:w="80"/>
              <w:left w:type="dxa" w:w="140"/>
              <w:bottom w:type="dxa" w:w="80"/>
              <w:right w:type="dxa" w:w="140"/>
            </w:tcMar>
          </w:tcPr>
          <w:p>
            <w:r>
              <w:rPr>
                <w:rFonts w:ascii="Arial" w:cs="Arial" w:eastAsia="Arial" w:hAnsi="Arial"/>
                <w:sz w:val="18"/>
                <w:szCs w:val="18"/>
              </w:rPr>
              <w:t xml:space="preserve">WWE Global Enterprise LAN/WAN — Stamford HQ + Regional Sites</w:t>
            </w:r>
          </w:p>
        </w:tc>
      </w:tr>
      <w:tr>
        <w:tc>
          <w:tcPr>
            <w:tcW w:type="dxa" w:w="2400"/>
            <w:tcBorders>
              <w:top w:val="single" w:color="B8860B" w:sz="1"/>
              <w:left w:val="single" w:color="B8860B" w:sz="1"/>
              <w:bottom w:val="single" w:color="B8860B" w:sz="1"/>
              <w:right w:val="single" w:color="B8860B" w:sz="1"/>
            </w:tcBorders>
            <w:shd w:fill="0A0A0A" w:val="clear"/>
            <w:tcMar>
              <w:top w:type="dxa" w:w="80"/>
              <w:left w:type="dxa" w:w="140"/>
              <w:bottom w:type="dxa" w:w="80"/>
              <w:right w:type="dxa" w:w="140"/>
            </w:tcMar>
          </w:tcPr>
          <w:p>
            <w:r>
              <w:rPr>
                <w:rFonts w:ascii="Arial" w:cs="Arial" w:eastAsia="Arial" w:hAnsi="Arial"/>
                <w:b/>
                <w:bCs/>
                <w:color w:val="B8860B"/>
                <w:sz w:val="18"/>
                <w:szCs w:val="18"/>
              </w:rPr>
              <w:t xml:space="preserve">Tools Referenced</w:t>
            </w:r>
          </w:p>
        </w:tc>
        <w:tc>
          <w:tcPr>
            <w:tcW w:type="dxa" w:w="4000"/>
            <w:tcBorders>
              <w:top w:val="single" w:color="B8860B" w:sz="1"/>
              <w:left w:val="single" w:color="B8860B" w:sz="1"/>
              <w:bottom w:val="single" w:color="B8860B" w:sz="1"/>
              <w:right w:val="single" w:color="B8860B" w:sz="1"/>
            </w:tcBorders>
            <w:shd w:fill="F5F6FA" w:val="clear"/>
            <w:tcMar>
              <w:top w:type="dxa" w:w="80"/>
              <w:left w:type="dxa" w:w="140"/>
              <w:bottom w:type="dxa" w:w="80"/>
              <w:right w:type="dxa" w:w="140"/>
            </w:tcMar>
          </w:tcPr>
          <w:p>
            <w:r>
              <w:rPr>
                <w:rFonts w:ascii="Arial" w:cs="Arial" w:eastAsia="Arial" w:hAnsi="Arial"/>
                <w:sz w:val="18"/>
                <w:szCs w:val="18"/>
              </w:rPr>
              <w:t xml:space="preserve">Cisco IOS ACL  |  Microsoft Active Directory  |  Azure Entra ID</w:t>
            </w:r>
          </w:p>
        </w:tc>
      </w:tr>
      <w:tr>
        <w:tc>
          <w:tcPr>
            <w:tcW w:type="dxa" w:w="2400"/>
            <w:tcBorders>
              <w:top w:val="single" w:color="B8860B" w:sz="1"/>
              <w:left w:val="single" w:color="B8860B" w:sz="1"/>
              <w:bottom w:val="single" w:color="B8860B" w:sz="1"/>
              <w:right w:val="single" w:color="B8860B" w:sz="1"/>
            </w:tcBorders>
            <w:shd w:fill="1F2937" w:val="clear"/>
            <w:tcMar>
              <w:top w:type="dxa" w:w="80"/>
              <w:left w:type="dxa" w:w="140"/>
              <w:bottom w:type="dxa" w:w="80"/>
              <w:right w:type="dxa" w:w="140"/>
            </w:tcMar>
          </w:tcPr>
          <w:p>
            <w:r>
              <w:rPr>
                <w:rFonts w:ascii="Arial" w:cs="Arial" w:eastAsia="Arial" w:hAnsi="Arial"/>
                <w:b/>
                <w:bCs/>
                <w:color w:val="B8860B"/>
                <w:sz w:val="18"/>
                <w:szCs w:val="18"/>
              </w:rPr>
              <w:t xml:space="preserve">Access Model</w:t>
            </w:r>
          </w:p>
        </w:tc>
        <w:tc>
          <w:tcPr>
            <w:tcW w:type="dxa" w:w="4000"/>
            <w:tcBorders>
              <w:top w:val="single" w:color="B8860B" w:sz="1"/>
              <w:left w:val="single" w:color="B8860B" w:sz="1"/>
              <w:bottom w:val="single" w:color="B8860B" w:sz="1"/>
              <w:right w:val="single" w:color="B8860B" w:sz="1"/>
            </w:tcBorders>
            <w:shd w:fill="FFFFFF" w:val="clear"/>
            <w:tcMar>
              <w:top w:type="dxa" w:w="80"/>
              <w:left w:type="dxa" w:w="140"/>
              <w:bottom w:type="dxa" w:w="80"/>
              <w:right w:type="dxa" w:w="140"/>
            </w:tcMar>
          </w:tcPr>
          <w:p>
            <w:r>
              <w:rPr>
                <w:rFonts w:ascii="Arial" w:cs="Arial" w:eastAsia="Arial" w:hAnsi="Arial"/>
                <w:sz w:val="18"/>
                <w:szCs w:val="18"/>
              </w:rPr>
              <w:t xml:space="preserve">Role-Based Access Control (RBAC) with MAC overlay for sensitive IP</w:t>
            </w:r>
          </w:p>
        </w:tc>
      </w:tr>
      <w:tr>
        <w:tc>
          <w:tcPr>
            <w:tcW w:type="dxa" w:w="2400"/>
            <w:tcBorders>
              <w:top w:val="single" w:color="B8860B" w:sz="1"/>
              <w:left w:val="single" w:color="B8860B" w:sz="1"/>
              <w:bottom w:val="single" w:color="B8860B" w:sz="1"/>
              <w:right w:val="single" w:color="B8860B" w:sz="1"/>
            </w:tcBorders>
            <w:shd w:fill="0A0A0A" w:val="clear"/>
            <w:tcMar>
              <w:top w:type="dxa" w:w="80"/>
              <w:left w:type="dxa" w:w="140"/>
              <w:bottom w:type="dxa" w:w="80"/>
              <w:right w:type="dxa" w:w="140"/>
            </w:tcMar>
          </w:tcPr>
          <w:p>
            <w:r>
              <w:rPr>
                <w:rFonts w:ascii="Arial" w:cs="Arial" w:eastAsia="Arial" w:hAnsi="Arial"/>
                <w:b/>
                <w:bCs/>
                <w:color w:val="B8860B"/>
                <w:sz w:val="18"/>
                <w:szCs w:val="18"/>
              </w:rPr>
              <w:t xml:space="preserve">Classification</w:t>
            </w:r>
          </w:p>
        </w:tc>
        <w:tc>
          <w:tcPr>
            <w:tcW w:type="dxa" w:w="4000"/>
            <w:tcBorders>
              <w:top w:val="single" w:color="B8860B" w:sz="1"/>
              <w:left w:val="single" w:color="B8860B" w:sz="1"/>
              <w:bottom w:val="single" w:color="B8860B" w:sz="1"/>
              <w:right w:val="single" w:color="B8860B" w:sz="1"/>
            </w:tcBorders>
            <w:shd w:fill="F5F6FA" w:val="clear"/>
            <w:tcMar>
              <w:top w:type="dxa" w:w="80"/>
              <w:left w:type="dxa" w:w="140"/>
              <w:bottom w:type="dxa" w:w="80"/>
              <w:right w:type="dxa" w:w="140"/>
            </w:tcMar>
          </w:tcPr>
          <w:p>
            <w:r>
              <w:rPr>
                <w:rFonts w:ascii="Arial" w:cs="Arial" w:eastAsia="Arial" w:hAnsi="Arial"/>
                <w:sz w:val="18"/>
                <w:szCs w:val="18"/>
              </w:rPr>
              <w:t xml:space="preserve">Confidential — Internal Use Only</w:t>
            </w:r>
          </w:p>
        </w:tc>
      </w:tr>
      <w:tr>
        <w:tc>
          <w:tcPr>
            <w:tcW w:type="dxa" w:w="2400"/>
            <w:tcBorders>
              <w:top w:val="single" w:color="B8860B" w:sz="1"/>
              <w:left w:val="single" w:color="B8860B" w:sz="1"/>
              <w:bottom w:val="single" w:color="B8860B" w:sz="1"/>
              <w:right w:val="single" w:color="B8860B" w:sz="1"/>
            </w:tcBorders>
            <w:shd w:fill="1F2937" w:val="clear"/>
            <w:tcMar>
              <w:top w:type="dxa" w:w="80"/>
              <w:left w:type="dxa" w:w="140"/>
              <w:bottom w:type="dxa" w:w="80"/>
              <w:right w:type="dxa" w:w="140"/>
            </w:tcMar>
          </w:tcPr>
          <w:p>
            <w:r>
              <w:rPr>
                <w:rFonts w:ascii="Arial" w:cs="Arial" w:eastAsia="Arial" w:hAnsi="Arial"/>
                <w:b/>
                <w:bCs/>
                <w:color w:val="B8860B"/>
                <w:sz w:val="18"/>
                <w:szCs w:val="18"/>
              </w:rPr>
              <w:t xml:space="preserve">Version / Date</w:t>
            </w:r>
          </w:p>
        </w:tc>
        <w:tc>
          <w:tcPr>
            <w:tcW w:type="dxa" w:w="4000"/>
            <w:tcBorders>
              <w:top w:val="single" w:color="B8860B" w:sz="1"/>
              <w:left w:val="single" w:color="B8860B" w:sz="1"/>
              <w:bottom w:val="single" w:color="B8860B" w:sz="1"/>
              <w:right w:val="single" w:color="B8860B" w:sz="1"/>
            </w:tcBorders>
            <w:shd w:fill="FFFFFF" w:val="clear"/>
            <w:tcMar>
              <w:top w:type="dxa" w:w="80"/>
              <w:left w:type="dxa" w:w="140"/>
              <w:bottom w:type="dxa" w:w="80"/>
              <w:right w:type="dxa" w:w="140"/>
            </w:tcMar>
          </w:tcPr>
          <w:p>
            <w:r>
              <w:rPr>
                <w:rFonts w:ascii="Arial" w:cs="Arial" w:eastAsia="Arial" w:hAnsi="Arial"/>
                <w:sz w:val="18"/>
                <w:szCs w:val="18"/>
              </w:rPr>
              <w:t xml:space="preserve">1.0 Final  |  April 2026</w:t>
            </w:r>
          </w:p>
        </w:tc>
      </w:tr>
    </w:tbl>
    <w:p>
      <w:pPr>
        <w:spacing w:after="560"/>
      </w:pPr>
    </w:p>
    <w:p>
      <w:r>
        <w:br w:type="page"/>
      </w:r>
    </w:p>
    <w:p>
      <w:pPr>
        <w:pStyle w:val="Heading1"/>
        <w:pBdr>
          <w:bottom w:val="single" w:color="B8860B" w:sz="8" w:space="4"/>
        </w:pBdr>
        <w:spacing w:after="160" w:before="420"/>
      </w:pPr>
      <w:r>
        <w:rPr>
          <w:rFonts w:ascii="Arial" w:cs="Arial" w:eastAsia="Arial" w:hAnsi="Arial"/>
          <w:b/>
          <w:bCs/>
          <w:color w:val="0A0A0A"/>
          <w:sz w:val="30"/>
          <w:szCs w:val="30"/>
        </w:rPr>
        <w:t xml:space="preserve">1. Executive Summary</w:t>
      </w:r>
    </w:p>
    <w:p>
      <w:pPr>
        <w:spacing w:after="140"/>
      </w:pPr>
      <w:r>
        <w:rPr>
          <w:rFonts w:ascii="Arial" w:cs="Arial" w:eastAsia="Arial" w:hAnsi="Arial"/>
          <w:sz w:val="20"/>
          <w:szCs w:val="20"/>
        </w:rPr>
        <w:t xml:space="preserve">This report documents the design and implementation of enterprise access control measures for WWE (World Wrestling Entertainment) as part of the Trinity Project cybersecurity program. WWE is a global publicly traded media and entertainment company headquartered in Stamford, Connecticut, generating revenue across live events, broadcast rights, streaming (Peacock/WWE Network), merchandise, and licensing. The organization manages highly sensitive data categories including talent contracts, storyline and creative IP, pay-per-view broadcast infrastructure, financial reporting data, and proprietary production assets.</w:t>
      </w:r>
    </w:p>
    <w:p>
      <w:pPr>
        <w:spacing w:after="140"/>
      </w:pPr>
    </w:p>
    <w:p>
      <w:pPr>
        <w:spacing w:after="140"/>
      </w:pPr>
      <w:r>
        <w:rPr>
          <w:rFonts w:ascii="Arial" w:cs="Arial" w:eastAsia="Arial" w:hAnsi="Arial"/>
          <w:sz w:val="20"/>
          <w:szCs w:val="20"/>
        </w:rPr>
        <w:t xml:space="preserve">Unlike defense contractors subject to ITAR or CMMC, WWE operates under commercial data protection obligations including SOX (Sarbanes-Oxley Act) for financial data, PCI DSS for payment processing, GDPR and CCPA for fan/consumer data, and internal IP protection policies governing creative and talent-related content. These obligations necessitate a mature, documented access control framework that enforces least privilege, maintains separation of duties, and provides an auditable chain of custody for sensitive data access.</w:t>
      </w:r>
    </w:p>
    <w:p>
      <w:pPr>
        <w:spacing w:after="140"/>
      </w:pPr>
    </w:p>
    <w:p>
      <w:pPr>
        <w:spacing w:after="140"/>
      </w:pPr>
      <w:r>
        <w:rPr>
          <w:rFonts w:ascii="Arial" w:cs="Arial" w:eastAsia="Arial" w:hAnsi="Arial"/>
          <w:sz w:val="20"/>
          <w:szCs w:val="20"/>
        </w:rPr>
        <w:t xml:space="preserve">This report details three interconnected access control implementations: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Control</w:t>
            </w:r>
          </w:p>
        </w:tc>
        <w:tc>
          <w:tcPr>
            <w:tcW w:type="dxa" w:w="416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Implementation</w:t>
            </w:r>
          </w:p>
        </w:tc>
        <w:tc>
          <w:tcPr>
            <w:tcW w:type="dxa" w:w="36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Platform / Scope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ACL Configuration</w:t>
            </w:r>
          </w:p>
        </w:tc>
        <w:tc>
          <w:tcPr>
            <w:tcW w:type="dxa" w:w="4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Extended Named ACL — PERMIT-DENY-WWE-FINANCE — restricting access to the WWE Finance VLAN (VLAN 30) to authorized finance systems and personnel only</w:t>
            </w:r>
          </w:p>
        </w:tc>
        <w:tc>
          <w:tcPr>
            <w:tcW w:type="dxa" w:w="3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Cisco IOS — Core Distribution Switch at WWE Stamford HQ</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Access Control Model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Role-Based Access Control (RBAC) with a Mandatory Access Control (MAC) overlay for the Creative &amp; Talent IP data tier — enforced via Microsoft Active Directory Security Groups and Azure Entra ID Conditional Access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Active Directory + Azure Entra ID + SharePoint / OneDrive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User Access Levels</w:t>
            </w:r>
          </w:p>
        </w:tc>
        <w:tc>
          <w:tcPr>
            <w:tcW w:type="dxa" w:w="4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Five-tier user access hierarchy from Level 1 (Read-Only / Public) through Level 5 (Executive / C-Suite) with distinct permissions, MFA requirements, and audit obligations per tier</w:t>
            </w:r>
          </w:p>
        </w:tc>
        <w:tc>
          <w:tcPr>
            <w:tcW w:type="dxa" w:w="3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Enterprise-wide — all WWE systems and data categories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8860B" w:sz="1"/>
              <w:left w:val="single" w:color="B8860B" w:sz="1"/>
              <w:bottom w:val="single" w:color="B8860B" w:sz="1"/>
              <w:right w:val="single" w:color="B8860B" w:sz="1"/>
            </w:tcBorders>
            <w:shd w:fill="B8860B" w:val="clear"/>
            <w:tcMar>
              <w:top w:type="dxa" w:w="100"/>
              <w:left w:type="dxa" w:w="110"/>
              <w:bottom w:type="dxa" w:w="100"/>
              <w:right w:type="dxa" w:w="110"/>
            </w:tcMar>
            <w:vAlign w:val="center"/>
          </w:tcPr>
          <w:p>
            <w:pPr>
              <w:jc w:val="center"/>
            </w:pPr>
            <w:r>
              <w:rPr>
                <w:rFonts w:ascii="Arial" w:cs="Arial" w:eastAsia="Arial" w:hAnsi="Arial"/>
                <w:b/>
                <w:bCs/>
                <w:color w:val="FFFFFF"/>
                <w:sz w:val="17"/>
                <w:szCs w:val="17"/>
              </w:rPr>
              <w:t xml:space="preserve">COMPLIANCE CONTEXT</w:t>
            </w:r>
          </w:p>
        </w:tc>
        <w:tc>
          <w:tcPr>
            <w:tcW w:type="dxa" w:w="7920"/>
            <w:tcBorders>
              <w:top w:val="single" w:color="B8860B" w:sz="1"/>
              <w:left w:val="single" w:color="B8860B" w:sz="1"/>
              <w:bottom w:val="single" w:color="B8860B" w:sz="1"/>
              <w:right w:val="single" w:color="B8860B" w:sz="1"/>
            </w:tcBorders>
            <w:shd w:fill="FFF8DC" w:val="clear"/>
            <w:tcMar>
              <w:top w:type="dxa" w:w="100"/>
              <w:left w:type="dxa" w:w="150"/>
              <w:bottom w:type="dxa" w:w="100"/>
              <w:right w:type="dxa" w:w="150"/>
            </w:tcMar>
          </w:tcPr>
          <w:p>
            <w:r>
              <w:rPr>
                <w:rFonts w:ascii="Arial" w:cs="Arial" w:eastAsia="Arial" w:hAnsi="Arial"/>
                <w:sz w:val="19"/>
                <w:szCs w:val="19"/>
              </w:rPr>
              <w:t xml:space="preserve">All access control measures satisfy SOX Section 404 (internal controls over financial reporting), PCI DSS Requirement 7 (restrict access to system components), and NIST SP 800-53 AC-2, AC-3, AC-6 — supporting WWE's obligations as a NYSE-listed entertainment company handling payment card and consumer data at scale.</w:t>
            </w:r>
          </w:p>
        </w:tc>
      </w:tr>
    </w:tbl>
    <w:p>
      <w:r>
        <w:br w:type="page"/>
      </w:r>
    </w:p>
    <w:p>
      <w:pPr>
        <w:pStyle w:val="Heading1"/>
        <w:pBdr>
          <w:bottom w:val="single" w:color="B8860B" w:sz="8" w:space="4"/>
        </w:pBdr>
        <w:spacing w:after="160" w:before="420"/>
      </w:pPr>
      <w:r>
        <w:rPr>
          <w:rFonts w:ascii="Arial" w:cs="Arial" w:eastAsia="Arial" w:hAnsi="Arial"/>
          <w:b/>
          <w:bCs/>
          <w:color w:val="0A0A0A"/>
          <w:sz w:val="30"/>
          <w:szCs w:val="30"/>
        </w:rPr>
        <w:t xml:space="preserve">2. Organizational Context — WWE</w:t>
      </w:r>
    </w:p>
    <w:p>
      <w:pPr>
        <w:pStyle w:val="Heading2"/>
        <w:spacing w:after="120" w:before="300"/>
      </w:pPr>
      <w:r>
        <w:rPr>
          <w:rFonts w:ascii="Arial" w:cs="Arial" w:eastAsia="Arial" w:hAnsi="Arial"/>
          <w:b/>
          <w:bCs/>
          <w:color w:val="9B1C1C"/>
          <w:sz w:val="24"/>
          <w:szCs w:val="24"/>
        </w:rPr>
        <w:t xml:space="preserve">2.1 Organization Profile</w:t>
      </w:r>
    </w:p>
    <w:p>
      <w:pPr>
        <w:spacing w:after="140"/>
      </w:pPr>
      <w:r>
        <w:rPr>
          <w:rFonts w:ascii="Arial" w:cs="Arial" w:eastAsia="Arial" w:hAnsi="Arial"/>
          <w:sz w:val="20"/>
          <w:szCs w:val="20"/>
        </w:rPr>
        <w:t xml:space="preserve">WWE is one of the world's most recognized sports entertainment brands, producing weekly programming (Raw, SmackDown, NXT), major annual events (WrestleMania, SummerSlam, Royal Rumble), and streaming content distributed globally via Peacock (US) and WWE Network (international). Following the 2023 merger with UFC under TKO Group Holdings, WWE operates as a wholly owned subsidiary with its own enterprise IT infrastructure while navigating integration obligations with the broader TKO enterprise environment.</w:t>
      </w:r>
    </w:p>
    <w:p>
      <w:pPr>
        <w:spacing w:after="140"/>
      </w:pPr>
    </w:p>
    <w:p>
      <w:pPr>
        <w:spacing w:after="140"/>
      </w:pPr>
      <w:r>
        <w:rPr>
          <w:rFonts w:ascii="Arial" w:cs="Arial" w:eastAsia="Arial" w:hAnsi="Arial"/>
          <w:sz w:val="20"/>
          <w:szCs w:val="20"/>
        </w:rPr>
        <w:t xml:space="preserve">From a cybersecurity and access control perspective, WWE's data environment is defined by the following characteristics:</w:t>
      </w:r>
    </w:p>
    <w:p>
      <w:pPr>
        <w:spacing w:after="140"/>
      </w:pPr>
    </w:p>
    <w:p>
      <w:pPr>
        <w:pStyle w:val="ListParagraph"/>
        <w:numPr>
          <w:ilvl w:val="0"/>
          <w:numId w:val="2"/>
        </w:numPr>
        <w:spacing w:after="80"/>
      </w:pPr>
      <w:r>
        <w:rPr>
          <w:rFonts w:ascii="Arial" w:cs="Arial" w:eastAsia="Arial" w:hAnsi="Arial"/>
          <w:sz w:val="20"/>
          <w:szCs w:val="20"/>
        </w:rPr>
        <w:t xml:space="preserve">Diverse data sensitivity: A single enterprise spans public fan-facing data (low sensitivity), talent contracts and creative storylines (high confidentiality), financial reporting subject to SOX, and payment processing environments subject to PCI DSS.</w:t>
      </w:r>
    </w:p>
    <w:p>
      <w:pPr>
        <w:pStyle w:val="ListParagraph"/>
        <w:numPr>
          <w:ilvl w:val="0"/>
          <w:numId w:val="2"/>
        </w:numPr>
        <w:spacing w:after="80"/>
      </w:pPr>
      <w:r>
        <w:rPr>
          <w:rFonts w:ascii="Arial" w:cs="Arial" w:eastAsia="Arial" w:hAnsi="Arial"/>
          <w:sz w:val="20"/>
          <w:szCs w:val="20"/>
        </w:rPr>
        <w:t xml:space="preserve">Highly distributed workforce: WWE employs production crews, road agents, talent relations staff, marketing teams, legal, finance, and technology personnel across Stamford HQ, Los Angeles production offices, international broadcast offices, and hundreds of live event venues annually.</w:t>
      </w:r>
    </w:p>
    <w:p>
      <w:pPr>
        <w:pStyle w:val="ListParagraph"/>
        <w:numPr>
          <w:ilvl w:val="0"/>
          <w:numId w:val="2"/>
        </w:numPr>
        <w:spacing w:after="80"/>
      </w:pPr>
      <w:r>
        <w:rPr>
          <w:rFonts w:ascii="Arial" w:cs="Arial" w:eastAsia="Arial" w:hAnsi="Arial"/>
          <w:sz w:val="20"/>
          <w:szCs w:val="20"/>
        </w:rPr>
        <w:t xml:space="preserve">Third-party access requirements: Broadcast partners (Fox, USA Network, Peacock), merchandise licensees, arena operators, and talent agents require controlled access to specific WWE systems and data — necessitating robust external access controls.</w:t>
      </w:r>
    </w:p>
    <w:p>
      <w:pPr>
        <w:pStyle w:val="ListParagraph"/>
        <w:numPr>
          <w:ilvl w:val="0"/>
          <w:numId w:val="2"/>
        </w:numPr>
        <w:spacing w:after="80"/>
      </w:pPr>
      <w:r>
        <w:rPr>
          <w:rFonts w:ascii="Arial" w:cs="Arial" w:eastAsia="Arial" w:hAnsi="Arial"/>
          <w:sz w:val="20"/>
          <w:szCs w:val="20"/>
        </w:rPr>
        <w:t xml:space="preserve">IP theft risk: Creative storylines, match outcomes, and talent signings represent high-value intellectual property that if leaked can cause significant financial and reputational harm — creating a MAC/confidentiality overlay requirement on top of standard RBAC.</w:t>
      </w:r>
    </w:p>
    <w:p>
      <w:pPr>
        <w:spacing w:after="140"/>
      </w:pPr>
    </w:p>
    <w:p>
      <w:pPr>
        <w:pStyle w:val="Heading2"/>
        <w:spacing w:after="120" w:before="300"/>
      </w:pPr>
      <w:r>
        <w:rPr>
          <w:rFonts w:ascii="Arial" w:cs="Arial" w:eastAsia="Arial" w:hAnsi="Arial"/>
          <w:b/>
          <w:bCs/>
          <w:color w:val="9B1C1C"/>
          <w:sz w:val="24"/>
          <w:szCs w:val="24"/>
        </w:rPr>
        <w:t xml:space="preserve">2.2 Network Architecture Context</w:t>
      </w:r>
    </w:p>
    <w:p>
      <w:pPr>
        <w:spacing w:after="140"/>
      </w:pPr>
      <w:r>
        <w:rPr>
          <w:rFonts w:ascii="Arial" w:cs="Arial" w:eastAsia="Arial" w:hAnsi="Arial"/>
          <w:sz w:val="20"/>
          <w:szCs w:val="20"/>
        </w:rPr>
        <w:t xml:space="preserve">WWE's enterprise network is organized around a hub-and-spoke LAN/WAN model anchored at Stamford HQ, with extension to regional production offices, the WWE Performance Center in Orlando, and event-based temporary connectivity for live events. Key VLANs relevant to this access control report: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360"/>
        <w:gridCol w:w="2000"/>
        <w:gridCol w:w="1400"/>
      </w:tblGrid>
      <w:tr>
        <w:tc>
          <w:tcPr>
            <w:tcW w:type="dxa" w:w="10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VLAN</w:t>
            </w:r>
          </w:p>
        </w:tc>
        <w:tc>
          <w:tcPr>
            <w:tcW w:type="dxa" w:w="16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Label</w:t>
            </w:r>
          </w:p>
        </w:tc>
        <w:tc>
          <w:tcPr>
            <w:tcW w:type="dxa" w:w="336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c>
          <w:tcPr>
            <w:tcW w:type="dxa" w:w="20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Primary Users</w:t>
            </w:r>
          </w:p>
        </w:tc>
        <w:tc>
          <w:tcPr>
            <w:tcW w:type="dxa" w:w="14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Sensitivity</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10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Creative/Talent</w:t>
            </w:r>
          </w:p>
        </w:tc>
        <w:tc>
          <w:tcPr>
            <w:tcW w:type="dxa" w:w="33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Storyline planning, talent contract data, booking, creative decks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Creative, Talent Relations, Exec</w:t>
            </w:r>
          </w:p>
        </w:tc>
        <w:tc>
          <w:tcPr>
            <w:tcW w:type="dxa" w:w="14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9B1C1C"/>
                <w:sz w:val="17"/>
                <w:szCs w:val="17"/>
              </w:rPr>
              <w:t xml:space="preserve">HIGHEST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Production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Video editing, graphics, broadcast systems, post-production assets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Production, A/V, Broadcast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78350F"/>
                <w:sz w:val="17"/>
                <w:szCs w:val="17"/>
              </w:rPr>
              <w:t xml:space="preserve">HIGH</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30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Finance</w:t>
            </w:r>
          </w:p>
        </w:tc>
        <w:tc>
          <w:tcPr>
            <w:tcW w:type="dxa" w:w="33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SAP ERP, payroll, financial reporting, SOX-controlled systems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Finance, Accounting, CFO Office</w:t>
            </w:r>
          </w:p>
        </w:tc>
        <w:tc>
          <w:tcPr>
            <w:tcW w:type="dxa" w:w="14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78350F"/>
                <w:sz w:val="17"/>
                <w:szCs w:val="17"/>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Corporate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Email, SharePoint, Teams, HR systems, general enterprise apps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corporate staff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1B3A6B"/>
                <w:sz w:val="17"/>
                <w:szCs w:val="17"/>
              </w:rPr>
              <w:t xml:space="preserve">MEDIUM</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50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Fan &amp; Commerce</w:t>
            </w:r>
          </w:p>
        </w:tc>
        <w:tc>
          <w:tcPr>
            <w:tcW w:type="dxa" w:w="33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WWE.com, Shop WWE, ticketing, fan data — PCI-scoped systems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eCommerce, Marketing, IT Ops</w:t>
            </w:r>
          </w:p>
        </w:tc>
        <w:tc>
          <w:tcPr>
            <w:tcW w:type="dxa" w:w="14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1B3A6B"/>
                <w:sz w:val="17"/>
                <w:szCs w:val="17"/>
              </w:rPr>
              <w:t xml:space="preserve">MEDIUM/PCI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Guest/Partner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Third-party vendor, broadcaster partner, arena network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External partners, vendors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166534"/>
                <w:sz w:val="17"/>
                <w:szCs w:val="17"/>
              </w:rPr>
              <w:t xml:space="preserve">LOW</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99</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Quarantine</w:t>
            </w:r>
          </w:p>
        </w:tc>
        <w:tc>
          <w:tcPr>
            <w:tcW w:type="dxa" w:w="33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Isolated segment for suspect or onboarding devices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IT Ops only</w:t>
            </w:r>
          </w:p>
        </w:tc>
        <w:tc>
          <w:tcPr>
            <w:tcW w:type="dxa" w:w="14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166534"/>
                <w:sz w:val="17"/>
                <w:szCs w:val="17"/>
              </w:rPr>
              <w:t xml:space="preserve">N/A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8860B" w:sz="1"/>
              <w:left w:val="single" w:color="B8860B" w:sz="1"/>
              <w:bottom w:val="single" w:color="B8860B" w:sz="1"/>
              <w:right w:val="single" w:color="B8860B" w:sz="1"/>
            </w:tcBorders>
            <w:shd w:fill="B8860B" w:val="clear"/>
            <w:tcMar>
              <w:top w:type="dxa" w:w="100"/>
              <w:left w:type="dxa" w:w="110"/>
              <w:bottom w:type="dxa" w:w="100"/>
              <w:right w:type="dxa" w:w="110"/>
            </w:tcMar>
            <w:vAlign w:val="center"/>
          </w:tcPr>
          <w:p>
            <w:pPr>
              <w:jc w:val="center"/>
            </w:pPr>
            <w:r>
              <w:rPr>
                <w:rFonts w:ascii="Arial" w:cs="Arial" w:eastAsia="Arial" w:hAnsi="Arial"/>
                <w:b/>
                <w:bCs/>
                <w:color w:val="FFFFFF"/>
                <w:sz w:val="17"/>
                <w:szCs w:val="17"/>
              </w:rPr>
              <w:t xml:space="preserve">TRINITY PROJECT ALIGNMENT</w:t>
            </w:r>
          </w:p>
        </w:tc>
        <w:tc>
          <w:tcPr>
            <w:tcW w:type="dxa" w:w="7920"/>
            <w:tcBorders>
              <w:top w:val="single" w:color="B8860B" w:sz="1"/>
              <w:left w:val="single" w:color="B8860B" w:sz="1"/>
              <w:bottom w:val="single" w:color="B8860B" w:sz="1"/>
              <w:right w:val="single" w:color="B8860B" w:sz="1"/>
            </w:tcBorders>
            <w:shd w:fill="FFF8DC" w:val="clear"/>
            <w:tcMar>
              <w:top w:type="dxa" w:w="100"/>
              <w:left w:type="dxa" w:w="150"/>
              <w:bottom w:type="dxa" w:w="100"/>
              <w:right w:type="dxa" w:w="150"/>
            </w:tcMar>
          </w:tcPr>
          <w:p>
            <w:r>
              <w:rPr>
                <w:rFonts w:ascii="Arial" w:cs="Arial" w:eastAsia="Arial" w:hAnsi="Arial"/>
                <w:sz w:val="19"/>
                <w:szCs w:val="19"/>
              </w:rPr>
              <w:t xml:space="preserve">The access control measures in this report are specifically designed for the WWE Trinity Project scenario, addressing the intersection of entertainment IP protection, financial compliance, and fan data privacy — three distinct regulatory domains that require different but complementary access control approaches.</w:t>
            </w:r>
          </w:p>
        </w:tc>
      </w:tr>
    </w:tbl>
    <w:p>
      <w:r>
        <w:br w:type="page"/>
      </w:r>
    </w:p>
    <w:p>
      <w:pPr>
        <w:pStyle w:val="Heading1"/>
        <w:pBdr>
          <w:bottom w:val="single" w:color="B8860B" w:sz="8" w:space="4"/>
        </w:pBdr>
        <w:spacing w:after="160" w:before="420"/>
      </w:pPr>
      <w:r>
        <w:rPr>
          <w:rFonts w:ascii="Arial" w:cs="Arial" w:eastAsia="Arial" w:hAnsi="Arial"/>
          <w:b/>
          <w:bCs/>
          <w:color w:val="0A0A0A"/>
          <w:sz w:val="30"/>
          <w:szCs w:val="30"/>
        </w:rPr>
        <w:t xml:space="preserve">3. Access Control List (ACL) Configuration</w:t>
      </w:r>
    </w:p>
    <w:p>
      <w:pPr>
        <w:pStyle w:val="Heading2"/>
        <w:spacing w:after="120" w:before="300"/>
      </w:pPr>
      <w:r>
        <w:rPr>
          <w:rFonts w:ascii="Arial" w:cs="Arial" w:eastAsia="Arial" w:hAnsi="Arial"/>
          <w:b/>
          <w:bCs/>
          <w:color w:val="9B1C1C"/>
          <w:sz w:val="24"/>
          <w:szCs w:val="24"/>
        </w:rPr>
        <w:t xml:space="preserve">3.1 Overview and Business Justification</w:t>
      </w:r>
    </w:p>
    <w:p>
      <w:pPr>
        <w:spacing w:after="140"/>
      </w:pPr>
      <w:r>
        <w:rPr>
          <w:rFonts w:ascii="Arial" w:cs="Arial" w:eastAsia="Arial" w:hAnsi="Arial"/>
          <w:sz w:val="20"/>
          <w:szCs w:val="20"/>
        </w:rPr>
        <w:t xml:space="preserve">The ACL documented in this section controls network-layer access to VLAN 30 — the WWE Finance segment hosting SAP S/4HANA ERP, ADP payroll integration endpoints, Oracle Financials reporting, and the SOX-controlled general ledger systems. Access to VLAN 30 is among the most tightly regulated access surfaces in the WWE enterprise environment: unauthorized access to financial systems violates SOX Section 404 internal control requirements, creates risk of fraudulent financial reporting, and may trigger SEC disclosure obligations.</w:t>
      </w:r>
    </w:p>
    <w:p>
      <w:pPr>
        <w:spacing w:after="140"/>
      </w:pPr>
    </w:p>
    <w:p>
      <w:pPr>
        <w:spacing w:after="140"/>
      </w:pPr>
      <w:r>
        <w:rPr>
          <w:rFonts w:ascii="Arial" w:cs="Arial" w:eastAsia="Arial" w:hAnsi="Arial"/>
          <w:sz w:val="20"/>
          <w:szCs w:val="20"/>
        </w:rPr>
        <w:t xml:space="preserve">An Extended Named ACL is implemented on the Cisco IOS core distribution switch at WWE Stamford HQ, applied as an inbound filter on all trunk interfaces feeding into VLAN 30. This ACL enforces the following policy:</w:t>
      </w:r>
    </w:p>
    <w:p>
      <w:pPr>
        <w:spacing w:after="140"/>
      </w:pPr>
    </w:p>
    <w:p>
      <w:pPr>
        <w:pStyle w:val="ListParagraph"/>
        <w:numPr>
          <w:ilvl w:val="0"/>
          <w:numId w:val="2"/>
        </w:numPr>
        <w:spacing w:after="80"/>
      </w:pPr>
      <w:r>
        <w:rPr>
          <w:rFonts w:ascii="Arial" w:cs="Arial" w:eastAsia="Arial" w:hAnsi="Arial"/>
          <w:sz w:val="20"/>
          <w:szCs w:val="20"/>
        </w:rPr>
        <w:t xml:space="preserve">Permit: Finance workstations (10.30.10.0/24) to reach all Finance VLAN resources — standard authorized user access.</w:t>
      </w:r>
    </w:p>
    <w:p>
      <w:pPr>
        <w:pStyle w:val="ListParagraph"/>
        <w:numPr>
          <w:ilvl w:val="0"/>
          <w:numId w:val="2"/>
        </w:numPr>
        <w:spacing w:after="80"/>
      </w:pPr>
      <w:r>
        <w:rPr>
          <w:rFonts w:ascii="Arial" w:cs="Arial" w:eastAsia="Arial" w:hAnsi="Arial"/>
          <w:sz w:val="20"/>
          <w:szCs w:val="20"/>
        </w:rPr>
        <w:t xml:space="preserve">Permit: Finance applications server tier (10.30.20.0/24) to communicate internally for SAP application-database connectivity.</w:t>
      </w:r>
    </w:p>
    <w:p>
      <w:pPr>
        <w:pStyle w:val="ListParagraph"/>
        <w:numPr>
          <w:ilvl w:val="0"/>
          <w:numId w:val="2"/>
        </w:numPr>
        <w:spacing w:after="80"/>
      </w:pPr>
      <w:r>
        <w:rPr>
          <w:rFonts w:ascii="Arial" w:cs="Arial" w:eastAsia="Arial" w:hAnsi="Arial"/>
          <w:sz w:val="20"/>
          <w:szCs w:val="20"/>
        </w:rPr>
        <w:t xml:space="preserve">Permit: IT Security / SOC monitoring (10.40.50.0/24) to reach Finance VLAN on SNMP (UDP/161) and syslog (UDP/514) for compliance monitoring only.</w:t>
      </w:r>
    </w:p>
    <w:p>
      <w:pPr>
        <w:pStyle w:val="ListParagraph"/>
        <w:numPr>
          <w:ilvl w:val="0"/>
          <w:numId w:val="2"/>
        </w:numPr>
        <w:spacing w:after="80"/>
      </w:pPr>
      <w:r>
        <w:rPr>
          <w:rFonts w:ascii="Arial" w:cs="Arial" w:eastAsia="Arial" w:hAnsi="Arial"/>
          <w:sz w:val="20"/>
          <w:szCs w:val="20"/>
        </w:rPr>
        <w:t xml:space="preserve">Permit: HR systems server (10.40.30.10/32) to reach ADP payroll integration endpoint on TCP/8443 only — principle of least privilege for cross-VLAN service communication.</w:t>
      </w:r>
    </w:p>
    <w:p>
      <w:pPr>
        <w:pStyle w:val="ListParagraph"/>
        <w:numPr>
          <w:ilvl w:val="0"/>
          <w:numId w:val="2"/>
        </w:numPr>
        <w:spacing w:after="80"/>
      </w:pPr>
      <w:r>
        <w:rPr>
          <w:rFonts w:ascii="Arial" w:cs="Arial" w:eastAsia="Arial" w:hAnsi="Arial"/>
          <w:sz w:val="20"/>
          <w:szCs w:val="20"/>
        </w:rPr>
        <w:t xml:space="preserve">Deny: All other inter-VLAN traffic — explicit deny with logging for SOX audit trail.</w:t>
      </w:r>
    </w:p>
    <w:p>
      <w:pPr>
        <w:pStyle w:val="ListParagraph"/>
        <w:numPr>
          <w:ilvl w:val="0"/>
          <w:numId w:val="2"/>
        </w:numPr>
        <w:spacing w:after="80"/>
      </w:pPr>
      <w:r>
        <w:rPr>
          <w:rFonts w:ascii="Arial" w:cs="Arial" w:eastAsia="Arial" w:hAnsi="Arial"/>
          <w:sz w:val="20"/>
          <w:szCs w:val="20"/>
        </w:rPr>
        <w:t xml:space="preserve">Deny: Any traffic from Guest/Partner VLAN (10.60.0.0/16) to Finance — absolute deny, no exceptions.</w:t>
      </w:r>
    </w:p>
    <w:p>
      <w:pPr>
        <w:spacing w:after="140"/>
      </w:pPr>
    </w:p>
    <w:p>
      <w:pPr>
        <w:pStyle w:val="Heading2"/>
        <w:spacing w:after="120" w:before="300"/>
      </w:pPr>
      <w:r>
        <w:rPr>
          <w:rFonts w:ascii="Arial" w:cs="Arial" w:eastAsia="Arial" w:hAnsi="Arial"/>
          <w:b/>
          <w:bCs/>
          <w:color w:val="9B1C1C"/>
          <w:sz w:val="24"/>
          <w:szCs w:val="24"/>
        </w:rPr>
        <w:t xml:space="preserve">3.2 ACL Specification — PERMIT-DENY-WWE-FINANCE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8860B" w:sz="1"/>
              <w:left w:val="single" w:color="B8860B" w:sz="1"/>
              <w:bottom w:val="single" w:color="B8860B" w:sz="1"/>
              <w:right w:val="single" w:color="B8860B" w:sz="1"/>
            </w:tcBorders>
            <w:shd w:fill="B8860B" w:val="clear"/>
            <w:tcMar>
              <w:top w:type="dxa" w:w="100"/>
              <w:left w:type="dxa" w:w="110"/>
              <w:bottom w:type="dxa" w:w="100"/>
              <w:right w:type="dxa" w:w="110"/>
            </w:tcMar>
            <w:vAlign w:val="center"/>
          </w:tcPr>
          <w:p>
            <w:pPr>
              <w:jc w:val="center"/>
            </w:pPr>
            <w:r>
              <w:rPr>
                <w:rFonts w:ascii="Arial" w:cs="Arial" w:eastAsia="Arial" w:hAnsi="Arial"/>
                <w:b/>
                <w:bCs/>
                <w:color w:val="FFFFFF"/>
                <w:sz w:val="17"/>
                <w:szCs w:val="17"/>
              </w:rPr>
              <w:t xml:space="preserve">ACL NAME</w:t>
            </w:r>
          </w:p>
        </w:tc>
        <w:tc>
          <w:tcPr>
            <w:tcW w:type="dxa" w:w="7920"/>
            <w:tcBorders>
              <w:top w:val="single" w:color="B8860B" w:sz="1"/>
              <w:left w:val="single" w:color="B8860B" w:sz="1"/>
              <w:bottom w:val="single" w:color="B8860B" w:sz="1"/>
              <w:right w:val="single" w:color="B8860B" w:sz="1"/>
            </w:tcBorders>
            <w:shd w:fill="FFF8DC" w:val="clear"/>
            <w:tcMar>
              <w:top w:type="dxa" w:w="100"/>
              <w:left w:type="dxa" w:w="150"/>
              <w:bottom w:type="dxa" w:w="100"/>
              <w:right w:type="dxa" w:w="150"/>
            </w:tcMar>
          </w:tcPr>
          <w:p>
            <w:r>
              <w:rPr>
                <w:rFonts w:ascii="Arial" w:cs="Arial" w:eastAsia="Arial" w:hAnsi="Arial"/>
                <w:sz w:val="19"/>
                <w:szCs w:val="19"/>
              </w:rPr>
              <w:t xml:space="preserve">PERMIT-DENY-WWE-FINANCE  |  Type: Extended Named ACL  |  Device: Cisco Catalyst 9300 — Core-SW-HQ-01  |  Direction: Inbound on VLAN 30 SVI + all inter-VLAN routing interfaces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0A0F1A" w:val="clear"/>
            <w:tcMar>
              <w:top w:type="dxa" w:w="180"/>
              <w:left w:type="dxa" w:w="260"/>
              <w:bottom w:type="dxa" w:w="180"/>
              <w:right w:type="dxa" w:w="260"/>
            </w:tcMar>
          </w:tcPr>
          <w:p>
            <w:pPr>
              <w:spacing w:after="20"/>
            </w:pPr>
            <w:r>
              <w:rPr>
                <w:rFonts w:ascii="Courier New" w:cs="Courier New" w:eastAsia="Courier New" w:hAnsi="Courier New"/>
                <w:color w:val="FFE066"/>
                <w:sz w:val="18"/>
                <w:szCs w:val="18"/>
              </w:rPr>
              <w:t xml:space="preserve">! =========================================================</w:t>
            </w:r>
          </w:p>
          <w:p>
            <w:pPr>
              <w:spacing w:after="20"/>
            </w:pPr>
            <w:r>
              <w:rPr>
                <w:rFonts w:ascii="Courier New" w:cs="Courier New" w:eastAsia="Courier New" w:hAnsi="Courier New"/>
                <w:color w:val="FFE066"/>
                <w:sz w:val="18"/>
                <w:szCs w:val="18"/>
              </w:rPr>
              <w:t xml:space="preserve">! WWE Enterprise Network — Extended Named ACL</w:t>
            </w:r>
          </w:p>
          <w:p>
            <w:pPr>
              <w:spacing w:after="20"/>
            </w:pPr>
            <w:r>
              <w:rPr>
                <w:rFonts w:ascii="Courier New" w:cs="Courier New" w:eastAsia="Courier New" w:hAnsi="Courier New"/>
                <w:color w:val="FFE066"/>
                <w:sz w:val="18"/>
                <w:szCs w:val="18"/>
              </w:rPr>
              <w:t xml:space="preserve">! ACL Name  : PERMIT-DENY-WWE-FINANCE</w:t>
            </w:r>
          </w:p>
          <w:p>
            <w:pPr>
              <w:spacing w:after="20"/>
            </w:pPr>
            <w:r>
              <w:rPr>
                <w:rFonts w:ascii="Courier New" w:cs="Courier New" w:eastAsia="Courier New" w:hAnsi="Courier New"/>
                <w:color w:val="FFE066"/>
                <w:sz w:val="18"/>
                <w:szCs w:val="18"/>
              </w:rPr>
              <w:t xml:space="preserve">! Device    : Core-SW-HQ-01 (Cisco Catalyst 9300)</w:t>
            </w:r>
          </w:p>
          <w:p>
            <w:pPr>
              <w:spacing w:after="20"/>
            </w:pPr>
            <w:r>
              <w:rPr>
                <w:rFonts w:ascii="Courier New" w:cs="Courier New" w:eastAsia="Courier New" w:hAnsi="Courier New"/>
                <w:color w:val="FFE066"/>
                <w:sz w:val="18"/>
                <w:szCs w:val="18"/>
              </w:rPr>
              <w:t xml:space="preserve">! Applied   : Inbound on interface VLAN 30 SVI</w:t>
            </w:r>
          </w:p>
          <w:p>
            <w:pPr>
              <w:spacing w:after="20"/>
            </w:pPr>
            <w:r>
              <w:rPr>
                <w:rFonts w:ascii="Courier New" w:cs="Courier New" w:eastAsia="Courier New" w:hAnsi="Courier New"/>
                <w:color w:val="FFE066"/>
                <w:sz w:val="18"/>
                <w:szCs w:val="18"/>
              </w:rPr>
              <w:t xml:space="preserve">! Owner     : WWE Information Security — Network Engineering</w:t>
            </w:r>
          </w:p>
          <w:p>
            <w:pPr>
              <w:spacing w:after="20"/>
            </w:pPr>
            <w:r>
              <w:rPr>
                <w:rFonts w:ascii="Courier New" w:cs="Courier New" w:eastAsia="Courier New" w:hAnsi="Courier New"/>
                <w:color w:val="FFE066"/>
                <w:sz w:val="18"/>
                <w:szCs w:val="18"/>
              </w:rPr>
              <w:t xml:space="preserve">! Version   : 1.2  |  Last Modified: April 2026</w:t>
            </w:r>
          </w:p>
          <w:p>
            <w:pPr>
              <w:spacing w:after="20"/>
            </w:pPr>
            <w:r>
              <w:rPr>
                <w:rFonts w:ascii="Courier New" w:cs="Courier New" w:eastAsia="Courier New" w:hAnsi="Courier New"/>
                <w:color w:val="FFE066"/>
                <w:sz w:val="18"/>
                <w:szCs w:val="18"/>
              </w:rPr>
              <w:t xml:space="preserve">! SOX Ref   : SOX Section 404 — IT General Controls (ITGC)</w:t>
            </w:r>
          </w:p>
          <w:p>
            <w:pPr>
              <w:spacing w:after="20"/>
            </w:pPr>
            <w:r>
              <w:rPr>
                <w:rFonts w:ascii="Courier New" w:cs="Courier New" w:eastAsia="Courier New" w:hAnsi="Courier New"/>
                <w:color w:val="FFE066"/>
                <w:sz w:val="18"/>
                <w:szCs w:val="18"/>
              </w:rPr>
              <w:t xml:space="preserve">! =========================================================</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E5FF"/>
                <w:sz w:val="18"/>
                <w:szCs w:val="18"/>
              </w:rPr>
              <w:t xml:space="preserve">ip access-list extended PERMIT-DENY-WWE-FINANCE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 --- RULE 10: Finance workstations -&gt; Finance VLAN (full access) ---</w:t>
            </w:r>
          </w:p>
          <w:p>
            <w:pPr>
              <w:spacing w:after="20"/>
            </w:pPr>
            <w:r>
              <w:rPr>
                <w:rFonts w:ascii="Courier New" w:cs="Courier New" w:eastAsia="Courier New" w:hAnsi="Courier New"/>
                <w:color w:val="00E5FF"/>
                <w:sz w:val="18"/>
                <w:szCs w:val="18"/>
              </w:rPr>
              <w:t xml:space="preserve"> 10 permit ip 10.30.10.0 0.0.0.255 10.30.0.0 0.0.255.255</w:t>
            </w:r>
          </w:p>
          <w:p>
            <w:pPr>
              <w:spacing w:after="20"/>
            </w:pPr>
            <w:r>
              <w:rPr>
                <w:rFonts w:ascii="Courier New" w:cs="Courier New" w:eastAsia="Courier New" w:hAnsi="Courier New"/>
                <w:color w:val="FF9933"/>
                <w:sz w:val="18"/>
                <w:szCs w:val="18"/>
              </w:rPr>
              <w:t xml:space="preserve"> remark Finance-User-Workstations to Finance-VLAN-Full-Access</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 --- RULE 20: Finance app tier internal communication (SAP app-to-DB) ---</w:t>
            </w:r>
          </w:p>
          <w:p>
            <w:pPr>
              <w:spacing w:after="20"/>
            </w:pPr>
            <w:r>
              <w:rPr>
                <w:rFonts w:ascii="Courier New" w:cs="Courier New" w:eastAsia="Courier New" w:hAnsi="Courier New"/>
                <w:color w:val="00E5FF"/>
                <w:sz w:val="18"/>
                <w:szCs w:val="18"/>
              </w:rPr>
              <w:t xml:space="preserve"> 20 permit tcp 10.30.20.0 0.0.0.255 10.30.30.0 0.0.0.255 eq 1521</w:t>
            </w:r>
          </w:p>
          <w:p>
            <w:pPr>
              <w:spacing w:after="20"/>
            </w:pPr>
            <w:r>
              <w:rPr>
                <w:rFonts w:ascii="Courier New" w:cs="Courier New" w:eastAsia="Courier New" w:hAnsi="Courier New"/>
                <w:color w:val="FF9933"/>
                <w:sz w:val="18"/>
                <w:szCs w:val="18"/>
              </w:rPr>
              <w:t xml:space="preserve"> remark SAP-App-Tier to Oracle-DB-Tier TCP/1521 (Oracle listener)</w:t>
            </w:r>
          </w:p>
          <w:p>
            <w:pPr>
              <w:spacing w:after="20"/>
            </w:pPr>
            <w:r>
              <w:rPr>
                <w:rFonts w:ascii="Courier New" w:cs="Courier New" w:eastAsia="Courier New" w:hAnsi="Courier New"/>
                <w:color w:val="00E5FF"/>
                <w:sz w:val="18"/>
                <w:szCs w:val="18"/>
              </w:rPr>
              <w:t xml:space="preserve"> 21 permit tcp 10.30.20.0 0.0.0.255 10.30.30.0 0.0.0.255 eq 3200</w:t>
            </w:r>
          </w:p>
          <w:p>
            <w:pPr>
              <w:spacing w:after="20"/>
            </w:pPr>
            <w:r>
              <w:rPr>
                <w:rFonts w:ascii="Courier New" w:cs="Courier New" w:eastAsia="Courier New" w:hAnsi="Courier New"/>
                <w:color w:val="FF9933"/>
                <w:sz w:val="18"/>
                <w:szCs w:val="18"/>
              </w:rPr>
              <w:t xml:space="preserve"> remark SAP-App-Tier to SAP-DB-Tier TCP/3200 (SAP dispatcher)</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 --- RULE 30: SOC monitoring — SNMP and syslog only ---</w:t>
            </w:r>
          </w:p>
          <w:p>
            <w:pPr>
              <w:spacing w:after="20"/>
            </w:pPr>
            <w:r>
              <w:rPr>
                <w:rFonts w:ascii="Courier New" w:cs="Courier New" w:eastAsia="Courier New" w:hAnsi="Courier New"/>
                <w:color w:val="00E5FF"/>
                <w:sz w:val="18"/>
                <w:szCs w:val="18"/>
              </w:rPr>
              <w:t xml:space="preserve"> 30 permit udp 10.40.50.0 0.0.0.255 10.30.0.0 0.0.255.255 eq 161</w:t>
            </w:r>
          </w:p>
          <w:p>
            <w:pPr>
              <w:spacing w:after="20"/>
            </w:pPr>
            <w:r>
              <w:rPr>
                <w:rFonts w:ascii="Courier New" w:cs="Courier New" w:eastAsia="Courier New" w:hAnsi="Courier New"/>
                <w:color w:val="FF9933"/>
                <w:sz w:val="18"/>
                <w:szCs w:val="18"/>
              </w:rPr>
              <w:t xml:space="preserve"> remark SOC-Monitoring SNMP to Finance-VLAN (compliance monitoring)</w:t>
            </w:r>
          </w:p>
          <w:p>
            <w:pPr>
              <w:spacing w:after="20"/>
            </w:pPr>
            <w:r>
              <w:rPr>
                <w:rFonts w:ascii="Courier New" w:cs="Courier New" w:eastAsia="Courier New" w:hAnsi="Courier New"/>
                <w:color w:val="00E5FF"/>
                <w:sz w:val="18"/>
                <w:szCs w:val="18"/>
              </w:rPr>
              <w:t xml:space="preserve"> 31 permit udp 10.40.50.0 0.0.0.255 10.30.0.0 0.0.255.255 eq 514</w:t>
            </w:r>
          </w:p>
          <w:p>
            <w:pPr>
              <w:spacing w:after="20"/>
            </w:pPr>
            <w:r>
              <w:rPr>
                <w:rFonts w:ascii="Courier New" w:cs="Courier New" w:eastAsia="Courier New" w:hAnsi="Courier New"/>
                <w:color w:val="FF9933"/>
                <w:sz w:val="18"/>
                <w:szCs w:val="18"/>
              </w:rPr>
              <w:t xml:space="preserve"> remark SOC-Monitoring syslog collection from Finance-VLAN devices</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 --- RULE 40: HR system -&gt; ADP payroll integration (TCP/8443 only) ---</w:t>
            </w:r>
          </w:p>
          <w:p>
            <w:pPr>
              <w:spacing w:after="20"/>
            </w:pPr>
            <w:r>
              <w:rPr>
                <w:rFonts w:ascii="Courier New" w:cs="Courier New" w:eastAsia="Courier New" w:hAnsi="Courier New"/>
                <w:color w:val="00E5FF"/>
                <w:sz w:val="18"/>
                <w:szCs w:val="18"/>
              </w:rPr>
              <w:t xml:space="preserve"> 40 permit tcp host 10.40.30.10 host 10.30.20.25 eq 8443</w:t>
            </w:r>
          </w:p>
          <w:p>
            <w:pPr>
              <w:spacing w:after="20"/>
            </w:pPr>
            <w:r>
              <w:rPr>
                <w:rFonts w:ascii="Courier New" w:cs="Courier New" w:eastAsia="Courier New" w:hAnsi="Courier New"/>
                <w:color w:val="FF9933"/>
                <w:sz w:val="18"/>
                <w:szCs w:val="18"/>
              </w:rPr>
              <w:t xml:space="preserve"> remark HR-System (10.40.30.10) to ADP-Integration-Endpoint TCP/8443 only</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FF5555"/>
                <w:sz w:val="18"/>
                <w:szCs w:val="18"/>
              </w:rPr>
              <w:t xml:space="preserve"> ! --- RULE 50: DENY Guest/Partner VLAN to Finance (absolute — logged) ---</w:t>
            </w:r>
          </w:p>
          <w:p>
            <w:pPr>
              <w:spacing w:after="20"/>
            </w:pPr>
            <w:r>
              <w:rPr>
                <w:rFonts w:ascii="Courier New" w:cs="Courier New" w:eastAsia="Courier New" w:hAnsi="Courier New"/>
                <w:color w:val="00E5FF"/>
                <w:sz w:val="18"/>
                <w:szCs w:val="18"/>
              </w:rPr>
              <w:t xml:space="preserve"> 50 deny ip 10.60.0.0 0.0.255.255 10.30.0.0 0.0.255.255 log</w:t>
            </w:r>
          </w:p>
          <w:p>
            <w:pPr>
              <w:spacing w:after="20"/>
            </w:pPr>
            <w:r>
              <w:rPr>
                <w:rFonts w:ascii="Courier New" w:cs="Courier New" w:eastAsia="Courier New" w:hAnsi="Courier New"/>
                <w:color w:val="FF9933"/>
                <w:sz w:val="18"/>
                <w:szCs w:val="18"/>
              </w:rPr>
              <w:t xml:space="preserve"> remark DENY-ABSOLUTE: Guest-Partner-VLAN to Finance-VLAN — LOGGED</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FF5555"/>
                <w:sz w:val="18"/>
                <w:szCs w:val="18"/>
              </w:rPr>
              <w:t xml:space="preserve"> ! --- RULE 60: DENY Production VLAN to Finance (separation of duties) ---</w:t>
            </w:r>
          </w:p>
          <w:p>
            <w:pPr>
              <w:spacing w:after="20"/>
            </w:pPr>
            <w:r>
              <w:rPr>
                <w:rFonts w:ascii="Courier New" w:cs="Courier New" w:eastAsia="Courier New" w:hAnsi="Courier New"/>
                <w:color w:val="00E5FF"/>
                <w:sz w:val="18"/>
                <w:szCs w:val="18"/>
              </w:rPr>
              <w:t xml:space="preserve"> 60 deny ip 10.20.0.0 0.0.255.255 10.30.0.0 0.0.255.255 log</w:t>
            </w:r>
          </w:p>
          <w:p>
            <w:pPr>
              <w:spacing w:after="20"/>
            </w:pPr>
            <w:r>
              <w:rPr>
                <w:rFonts w:ascii="Courier New" w:cs="Courier New" w:eastAsia="Courier New" w:hAnsi="Courier New"/>
                <w:color w:val="FF9933"/>
                <w:sz w:val="18"/>
                <w:szCs w:val="18"/>
              </w:rPr>
              <w:t xml:space="preserve"> remark DENY: Production-VLAN to Finance-VLAN (separation of duties)</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FF5555"/>
                <w:sz w:val="18"/>
                <w:szCs w:val="18"/>
              </w:rPr>
              <w:t xml:space="preserve"> ! --- RULE 900: Implicit deny all (catch-all with logging for SOX audit) ---</w:t>
            </w:r>
          </w:p>
          <w:p>
            <w:pPr>
              <w:spacing w:after="20"/>
            </w:pPr>
            <w:r>
              <w:rPr>
                <w:rFonts w:ascii="Courier New" w:cs="Courier New" w:eastAsia="Courier New" w:hAnsi="Courier New"/>
                <w:color w:val="00E5FF"/>
                <w:sz w:val="18"/>
                <w:szCs w:val="18"/>
              </w:rPr>
              <w:t xml:space="preserve"> 900 deny ip any any log</w:t>
            </w:r>
          </w:p>
          <w:p>
            <w:pPr>
              <w:spacing w:after="20"/>
            </w:pPr>
            <w:r>
              <w:rPr>
                <w:rFonts w:ascii="Courier New" w:cs="Courier New" w:eastAsia="Courier New" w:hAnsi="Courier New"/>
                <w:color w:val="FF9933"/>
                <w:sz w:val="18"/>
                <w:szCs w:val="18"/>
              </w:rPr>
              <w:t xml:space="preserve"> remark DENY-ALL: All other inter-VLAN traffic to Finance — SOX audit log</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FFE066"/>
                <w:sz w:val="18"/>
                <w:szCs w:val="18"/>
              </w:rPr>
              <w:t xml:space="preserve">! --- Apply to VLAN 30 SVI (inbound = traffic arriving at Finance VLAN) ---</w:t>
            </w:r>
          </w:p>
          <w:p>
            <w:pPr>
              <w:spacing w:after="20"/>
            </w:pPr>
            <w:r>
              <w:rPr>
                <w:rFonts w:ascii="Courier New" w:cs="Courier New" w:eastAsia="Courier New" w:hAnsi="Courier New"/>
                <w:color w:val="00E5FF"/>
                <w:sz w:val="18"/>
                <w:szCs w:val="18"/>
              </w:rPr>
              <w:t xml:space="preserve">interface Vlan30</w:t>
            </w:r>
          </w:p>
          <w:p>
            <w:pPr>
              <w:spacing w:after="20"/>
            </w:pPr>
            <w:r>
              <w:rPr>
                <w:rFonts w:ascii="Courier New" w:cs="Courier New" w:eastAsia="Courier New" w:hAnsi="Courier New"/>
                <w:color w:val="00E5FF"/>
                <w:sz w:val="18"/>
                <w:szCs w:val="18"/>
              </w:rPr>
              <w:t xml:space="preserve"> description WWE-Finance-VLAN-SOX-Controlled</w:t>
            </w:r>
          </w:p>
          <w:p>
            <w:pPr>
              <w:spacing w:after="20"/>
            </w:pPr>
            <w:r>
              <w:rPr>
                <w:rFonts w:ascii="Courier New" w:cs="Courier New" w:eastAsia="Courier New" w:hAnsi="Courier New"/>
                <w:color w:val="00E5FF"/>
                <w:sz w:val="18"/>
                <w:szCs w:val="18"/>
              </w:rPr>
              <w:t xml:space="preserve"> ip address 10.30.0.1 255.255.0.0</w:t>
            </w:r>
          </w:p>
          <w:p>
            <w:pPr>
              <w:spacing w:after="20"/>
            </w:pPr>
            <w:r>
              <w:rPr>
                <w:rFonts w:ascii="Courier New" w:cs="Courier New" w:eastAsia="Courier New" w:hAnsi="Courier New"/>
                <w:color w:val="00E5FF"/>
                <w:sz w:val="18"/>
                <w:szCs w:val="18"/>
              </w:rPr>
              <w:t xml:space="preserve"> ip access-group PERMIT-DENY-WWE-FINANCE in</w:t>
            </w:r>
          </w:p>
        </w:tc>
      </w:tr>
    </w:tbl>
    <w:p>
      <w:pPr>
        <w:spacing w:after="140"/>
      </w:pPr>
    </w:p>
    <w:p>
      <w:pPr>
        <w:pStyle w:val="Heading2"/>
        <w:spacing w:after="120" w:before="300"/>
      </w:pPr>
      <w:r>
        <w:rPr>
          <w:rFonts w:ascii="Arial" w:cs="Arial" w:eastAsia="Arial" w:hAnsi="Arial"/>
          <w:b/>
          <w:bCs/>
          <w:color w:val="9B1C1C"/>
          <w:sz w:val="24"/>
          <w:szCs w:val="24"/>
        </w:rPr>
        <w:t xml:space="preserve">3.3 Rule-by-Rule Justification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560"/>
        <w:gridCol w:w="2400"/>
        <w:gridCol w:w="2000"/>
      </w:tblGrid>
      <w:tr>
        <w:tc>
          <w:tcPr>
            <w:tcW w:type="dxa" w:w="6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Rule</w:t>
            </w:r>
          </w:p>
        </w:tc>
        <w:tc>
          <w:tcPr>
            <w:tcW w:type="dxa" w:w="18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Source</w:t>
            </w:r>
          </w:p>
        </w:tc>
        <w:tc>
          <w:tcPr>
            <w:tcW w:type="dxa" w:w="256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Destination / Service</w:t>
            </w:r>
          </w:p>
        </w:tc>
        <w:tc>
          <w:tcPr>
            <w:tcW w:type="dxa" w:w="24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Business Justification</w:t>
            </w:r>
          </w:p>
        </w:tc>
        <w:tc>
          <w:tcPr>
            <w:tcW w:type="dxa" w:w="20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Compliance Ref</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center"/>
            </w:pPr>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10.30.10.0/24 (Finance workstations)</w:t>
            </w:r>
          </w:p>
        </w:tc>
        <w:tc>
          <w:tcPr>
            <w:tcW w:type="dxa" w:w="2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30 — any service</w:t>
            </w:r>
          </w:p>
        </w:tc>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Authorized finance users require full VLAN 30 access for SAP, Oracle, payroll workflows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SOX ITGC — authorized access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10.30.20.0/24 (SAP App tier)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10.30.30.0/24 TCP/1521, 3200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SAP application tier must reach Oracle DB and SAP DB tier for transaction processing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PCI DSS Req 1.3 — service isolation</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center"/>
            </w:pPr>
            <w:r>
              <w:rPr>
                <w:rFonts w:ascii="Arial" w:cs="Arial" w:eastAsia="Arial" w:hAnsi="Arial"/>
                <w:sz w:val="18"/>
                <w:szCs w:val="18"/>
              </w:rPr>
              <w:t xml:space="preserve">30</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10.40.50.0/24 (SOC monitors)</w:t>
            </w:r>
          </w:p>
        </w:tc>
        <w:tc>
          <w:tcPr>
            <w:tcW w:type="dxa" w:w="2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30 UDP/161, 514 only</w:t>
            </w:r>
          </w:p>
        </w:tc>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 requires SNMP polling and syslog collection for compliance monitoring; no data access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SOX — continuous monitoring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sz w:val="18"/>
                <w:szCs w:val="18"/>
              </w:rPr>
              <w:t xml:space="preserve">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10.40.30.10/32 (HR system)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10.30.20.25 TCP/8443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Single HR system requires ADP integration API access — scoped to single host:port pair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Least privilege — NIST AC-6</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center"/>
            </w:pPr>
            <w:r>
              <w:rPr>
                <w:rFonts w:ascii="Arial" w:cs="Arial" w:eastAsia="Arial" w:hAnsi="Arial"/>
                <w:sz w:val="18"/>
                <w:szCs w:val="18"/>
              </w:rPr>
              <w:t xml:space="preserve">50</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10.60.0.0/16 (Guest/Partner)</w:t>
            </w:r>
          </w:p>
        </w:tc>
        <w:tc>
          <w:tcPr>
            <w:tcW w:type="dxa" w:w="2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30 — any — DENY + LOG</w:t>
            </w:r>
          </w:p>
        </w:tc>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Guest/partner network must never reach financial systems; logged for SOX audit evidence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SOX Sec 404 — access restriction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sz w:val="18"/>
                <w:szCs w:val="18"/>
              </w:rPr>
              <w:t xml:space="preserve">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10.20.0.0/16 (Production VLAN)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30 — any — DENY +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Production staff must not access financial data — separation of duties control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SOX — separation of duties</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center"/>
            </w:pPr>
            <w:r>
              <w:rPr>
                <w:rFonts w:ascii="Arial" w:cs="Arial" w:eastAsia="Arial" w:hAnsi="Arial"/>
                <w:sz w:val="18"/>
                <w:szCs w:val="18"/>
              </w:rPr>
              <w:t xml:space="preserve">900</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any</w:t>
            </w:r>
          </w:p>
        </w:tc>
        <w:tc>
          <w:tcPr>
            <w:tcW w:type="dxa" w:w="2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any — DENY + LOG (catch-all)</w:t>
            </w:r>
          </w:p>
        </w:tc>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Explicit catch-all deny ensures no unanticipated path reaches Finance VLAN; logged for audit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NIST SC-7(5) — deny by default</w:t>
            </w:r>
          </w:p>
        </w:tc>
      </w:tr>
    </w:tbl>
    <w:p>
      <w:pPr>
        <w:spacing w:after="140"/>
      </w:pPr>
    </w:p>
    <w:p>
      <w:pPr>
        <w:pStyle w:val="Heading2"/>
        <w:spacing w:after="120" w:before="300"/>
      </w:pPr>
      <w:r>
        <w:rPr>
          <w:rFonts w:ascii="Arial" w:cs="Arial" w:eastAsia="Arial" w:hAnsi="Arial"/>
          <w:b/>
          <w:bCs/>
          <w:color w:val="9B1C1C"/>
          <w:sz w:val="24"/>
          <w:szCs w:val="24"/>
        </w:rPr>
        <w:t xml:space="preserve">3.4 ACL Verification</w:t>
      </w:r>
    </w:p>
    <w:p>
      <w:pPr>
        <w:spacing w:after="140"/>
      </w:pPr>
      <w:r>
        <w:rPr>
          <w:rFonts w:ascii="Arial" w:cs="Arial" w:eastAsia="Arial" w:hAnsi="Arial"/>
          <w:sz w:val="20"/>
          <w:szCs w:val="20"/>
        </w:rPr>
        <w:t xml:space="preserve">Following deployment, the ACL was verified using the following Cisco IOS commands to confirm correct application and rule ordering:</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0A0F1A" w:val="clear"/>
            <w:tcMar>
              <w:top w:type="dxa" w:w="180"/>
              <w:left w:type="dxa" w:w="260"/>
              <w:bottom w:type="dxa" w:w="180"/>
              <w:right w:type="dxa" w:w="260"/>
            </w:tcMar>
          </w:tcPr>
          <w:p>
            <w:pPr>
              <w:spacing w:after="20"/>
            </w:pPr>
            <w:r>
              <w:rPr>
                <w:rFonts w:ascii="Courier New" w:cs="Courier New" w:eastAsia="Courier New" w:hAnsi="Courier New"/>
                <w:color w:val="FFE066"/>
                <w:sz w:val="18"/>
                <w:szCs w:val="18"/>
              </w:rPr>
              <w:t xml:space="preserve">! Verify ACL is applied to VLAN 30 SVI interface</w:t>
            </w:r>
          </w:p>
          <w:p>
            <w:pPr>
              <w:spacing w:after="20"/>
            </w:pPr>
            <w:r>
              <w:rPr>
                <w:rFonts w:ascii="Courier New" w:cs="Courier New" w:eastAsia="Courier New" w:hAnsi="Courier New"/>
                <w:color w:val="00E5FF"/>
                <w:sz w:val="18"/>
                <w:szCs w:val="18"/>
              </w:rPr>
              <w:t xml:space="preserve">Core-SW-HQ-01# show ip interface Vlan30 | include access list</w:t>
            </w:r>
          </w:p>
          <w:p>
            <w:pPr>
              <w:spacing w:after="20"/>
            </w:pPr>
            <w:r>
              <w:rPr>
                <w:rFonts w:ascii="Courier New" w:cs="Courier New" w:eastAsia="Courier New" w:hAnsi="Courier New"/>
                <w:color w:val="00FF9F"/>
                <w:sz w:val="18"/>
                <w:szCs w:val="18"/>
              </w:rPr>
              <w:t xml:space="preserve">  Inbound  access list is PERMIT-DENY-WWE-FINANCE</w:t>
            </w:r>
          </w:p>
          <w:p>
            <w:pPr>
              <w:spacing w:after="20"/>
            </w:pPr>
            <w:r>
              <w:rPr>
                <w:rFonts w:ascii="Courier New" w:cs="Courier New" w:eastAsia="Courier New" w:hAnsi="Courier New"/>
                <w:color w:val="00E5FF"/>
                <w:sz w:val="18"/>
                <w:szCs w:val="18"/>
              </w:rPr>
              <w:t xml:space="preserve">  Outbound access list is not set</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FFE066"/>
                <w:sz w:val="18"/>
                <w:szCs w:val="18"/>
              </w:rPr>
              <w:t xml:space="preserve">! Review ACL rule hits and match counts</w:t>
            </w:r>
          </w:p>
          <w:p>
            <w:pPr>
              <w:spacing w:after="20"/>
            </w:pPr>
            <w:r>
              <w:rPr>
                <w:rFonts w:ascii="Courier New" w:cs="Courier New" w:eastAsia="Courier New" w:hAnsi="Courier New"/>
                <w:color w:val="00E5FF"/>
                <w:sz w:val="18"/>
                <w:szCs w:val="18"/>
              </w:rPr>
              <w:t xml:space="preserve">Core-SW-HQ-01# show ip access-lists PERMIT-DENY-WWE-FINANCE</w:t>
            </w:r>
          </w:p>
          <w:p>
            <w:pPr>
              <w:spacing w:after="20"/>
            </w:pPr>
            <w:r>
              <w:rPr>
                <w:rFonts w:ascii="Courier New" w:cs="Courier New" w:eastAsia="Courier New" w:hAnsi="Courier New"/>
                <w:color w:val="00FF9F"/>
                <w:sz w:val="18"/>
                <w:szCs w:val="18"/>
              </w:rPr>
              <w:t xml:space="preserve">Extended IP access list PERMIT-DENY-WWE-FINANCE</w:t>
            </w:r>
          </w:p>
          <w:p>
            <w:pPr>
              <w:spacing w:after="20"/>
            </w:pPr>
            <w:r>
              <w:rPr>
                <w:rFonts w:ascii="Courier New" w:cs="Courier New" w:eastAsia="Courier New" w:hAnsi="Courier New"/>
                <w:color w:val="00E5FF"/>
                <w:sz w:val="18"/>
                <w:szCs w:val="18"/>
              </w:rPr>
              <w:t xml:space="preserve">    10 permit ip 10.30.10.0 0.0.0.255 10.30.0.0 0.0.255.255 (14837 matches)</w:t>
            </w:r>
          </w:p>
          <w:p>
            <w:pPr>
              <w:spacing w:after="20"/>
            </w:pPr>
            <w:r>
              <w:rPr>
                <w:rFonts w:ascii="Courier New" w:cs="Courier New" w:eastAsia="Courier New" w:hAnsi="Courier New"/>
                <w:color w:val="00E5FF"/>
                <w:sz w:val="18"/>
                <w:szCs w:val="18"/>
              </w:rPr>
              <w:t xml:space="preserve">    20 permit tcp 10.30.20.0 0.0.0.255 10.30.30.0 0.0.0.255 eq 1521 (3291 matches)</w:t>
            </w:r>
          </w:p>
          <w:p>
            <w:pPr>
              <w:spacing w:after="20"/>
            </w:pPr>
            <w:r>
              <w:rPr>
                <w:rFonts w:ascii="Courier New" w:cs="Courier New" w:eastAsia="Courier New" w:hAnsi="Courier New"/>
                <w:color w:val="00E5FF"/>
                <w:sz w:val="18"/>
                <w:szCs w:val="18"/>
              </w:rPr>
              <w:t xml:space="preserve">    21 permit tcp 10.30.20.0 0.0.0.255 10.30.30.0 0.0.0.255 eq 3200 (2104 matches)</w:t>
            </w:r>
          </w:p>
          <w:p>
            <w:pPr>
              <w:spacing w:after="20"/>
            </w:pPr>
            <w:r>
              <w:rPr>
                <w:rFonts w:ascii="Courier New" w:cs="Courier New" w:eastAsia="Courier New" w:hAnsi="Courier New"/>
                <w:color w:val="00E5FF"/>
                <w:sz w:val="18"/>
                <w:szCs w:val="18"/>
              </w:rPr>
              <w:t xml:space="preserve">    30 permit udp 10.40.50.0 0.0.0.255 10.30.0.0 0.0.255.255 eq 161 (8640 matches)</w:t>
            </w:r>
          </w:p>
          <w:p>
            <w:pPr>
              <w:spacing w:after="20"/>
            </w:pPr>
            <w:r>
              <w:rPr>
                <w:rFonts w:ascii="Courier New" w:cs="Courier New" w:eastAsia="Courier New" w:hAnsi="Courier New"/>
                <w:color w:val="00E5FF"/>
                <w:sz w:val="18"/>
                <w:szCs w:val="18"/>
              </w:rPr>
              <w:t xml:space="preserve">    31 permit udp 10.40.50.0 0.0.0.255 10.30.0.0 0.0.255.255 eq 514 (8640 matches)</w:t>
            </w:r>
          </w:p>
          <w:p>
            <w:pPr>
              <w:spacing w:after="20"/>
            </w:pPr>
            <w:r>
              <w:rPr>
                <w:rFonts w:ascii="Courier New" w:cs="Courier New" w:eastAsia="Courier New" w:hAnsi="Courier New"/>
                <w:color w:val="00E5FF"/>
                <w:sz w:val="18"/>
                <w:szCs w:val="18"/>
              </w:rPr>
              <w:t xml:space="preserve">    40 permit tcp host 10.40.30.10 host 10.30.20.25 eq 8443 (1440 matches)</w:t>
            </w:r>
          </w:p>
          <w:p>
            <w:pPr>
              <w:spacing w:after="20"/>
            </w:pPr>
            <w:r>
              <w:rPr>
                <w:rFonts w:ascii="Courier New" w:cs="Courier New" w:eastAsia="Courier New" w:hAnsi="Courier New"/>
                <w:color w:val="FF5555"/>
                <w:sz w:val="18"/>
                <w:szCs w:val="18"/>
              </w:rPr>
              <w:t xml:space="preserve">    50 deny ip 10.60.0.0 0.0.255.255 10.30.0.0 0.0.255.255 log (3 matches)</w:t>
            </w:r>
          </w:p>
          <w:p>
            <w:pPr>
              <w:spacing w:after="20"/>
            </w:pPr>
            <w:r>
              <w:rPr>
                <w:rFonts w:ascii="Courier New" w:cs="Courier New" w:eastAsia="Courier New" w:hAnsi="Courier New"/>
                <w:color w:val="00E5FF"/>
                <w:sz w:val="18"/>
                <w:szCs w:val="18"/>
              </w:rPr>
              <w:t xml:space="preserve">    60 deny ip 10.20.0.0 0.0.255.255 10.30.0.0 0.0.255.255 log (0 matches)</w:t>
            </w:r>
          </w:p>
          <w:p>
            <w:pPr>
              <w:spacing w:after="20"/>
            </w:pPr>
            <w:r>
              <w:rPr>
                <w:rFonts w:ascii="Courier New" w:cs="Courier New" w:eastAsia="Courier New" w:hAnsi="Courier New"/>
                <w:color w:val="FF5555"/>
                <w:sz w:val="18"/>
                <w:szCs w:val="18"/>
              </w:rPr>
              <w:t xml:space="preserve">    900 deny ip any any log (7 matches)</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FFE066"/>
                <w:sz w:val="18"/>
                <w:szCs w:val="18"/>
              </w:rPr>
              <w:t xml:space="preserve">! Note: Rule 50 had 3 matches — logged and investigated (see Section 6)</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8350F" w:sz="1"/>
              <w:left w:val="single" w:color="78350F" w:sz="1"/>
              <w:bottom w:val="single" w:color="78350F" w:sz="1"/>
              <w:right w:val="single" w:color="78350F" w:sz="1"/>
            </w:tcBorders>
            <w:shd w:fill="78350F" w:val="clear"/>
            <w:tcMar>
              <w:top w:type="dxa" w:w="100"/>
              <w:left w:type="dxa" w:w="110"/>
              <w:bottom w:type="dxa" w:w="100"/>
              <w:right w:type="dxa" w:w="110"/>
            </w:tcMar>
            <w:vAlign w:val="center"/>
          </w:tcPr>
          <w:p>
            <w:pPr>
              <w:jc w:val="center"/>
            </w:pPr>
            <w:r>
              <w:rPr>
                <w:rFonts w:ascii="Arial" w:cs="Arial" w:eastAsia="Arial" w:hAnsi="Arial"/>
                <w:b/>
                <w:bCs/>
                <w:color w:val="FFFFFF"/>
                <w:sz w:val="17"/>
                <w:szCs w:val="17"/>
              </w:rPr>
              <w:t xml:space="preserve">FINDING</w:t>
            </w:r>
          </w:p>
        </w:tc>
        <w:tc>
          <w:tcPr>
            <w:tcW w:type="dxa" w:w="7920"/>
            <w:tcBorders>
              <w:top w:val="single" w:color="78350F" w:sz="1"/>
              <w:left w:val="single" w:color="78350F" w:sz="1"/>
              <w:bottom w:val="single" w:color="78350F" w:sz="1"/>
              <w:right w:val="single" w:color="78350F" w:sz="1"/>
            </w:tcBorders>
            <w:shd w:fill="FEF3C7" w:val="clear"/>
            <w:tcMar>
              <w:top w:type="dxa" w:w="100"/>
              <w:left w:type="dxa" w:w="150"/>
              <w:bottom w:type="dxa" w:w="100"/>
              <w:right w:type="dxa" w:w="150"/>
            </w:tcMar>
          </w:tcPr>
          <w:p>
            <w:r>
              <w:rPr>
                <w:rFonts w:ascii="Arial" w:cs="Arial" w:eastAsia="Arial" w:hAnsi="Arial"/>
                <w:sz w:val="19"/>
                <w:szCs w:val="19"/>
              </w:rPr>
              <w:t xml:space="preserve">Rule 50 registered 3 denied connection attempts from the Guest/Partner VLAN (10.60.x.x) to Finance VLAN 30 during the first 72 hours post-deployment. SOC investigation confirmed these were from a misconfigured vendor laptop attempting to reach the SAP Fiori portal. The vendor was notified and their device was re-assigned to the appropriate partner access path via the secure application gateway.</w:t>
            </w:r>
          </w:p>
        </w:tc>
      </w:tr>
    </w:tbl>
    <w:p>
      <w:r>
        <w:br w:type="page"/>
      </w:r>
    </w:p>
    <w:p>
      <w:pPr>
        <w:pStyle w:val="Heading1"/>
        <w:pBdr>
          <w:bottom w:val="single" w:color="B8860B" w:sz="8" w:space="4"/>
        </w:pBdr>
        <w:spacing w:after="160" w:before="420"/>
      </w:pPr>
      <w:r>
        <w:rPr>
          <w:rFonts w:ascii="Arial" w:cs="Arial" w:eastAsia="Arial" w:hAnsi="Arial"/>
          <w:b/>
          <w:bCs/>
          <w:color w:val="0A0A0A"/>
          <w:sz w:val="30"/>
          <w:szCs w:val="30"/>
        </w:rPr>
        <w:t xml:space="preserve">4. Access Control Model — RBAC with MAC Overlay</w:t>
      </w:r>
    </w:p>
    <w:p>
      <w:pPr>
        <w:pStyle w:val="Heading2"/>
        <w:spacing w:after="120" w:before="300"/>
      </w:pPr>
      <w:r>
        <w:rPr>
          <w:rFonts w:ascii="Arial" w:cs="Arial" w:eastAsia="Arial" w:hAnsi="Arial"/>
          <w:b/>
          <w:bCs/>
          <w:color w:val="9B1C1C"/>
          <w:sz w:val="24"/>
          <w:szCs w:val="24"/>
        </w:rPr>
        <w:t xml:space="preserve">4.1 Model Selection Rationale</w:t>
      </w:r>
    </w:p>
    <w:p>
      <w:pPr>
        <w:spacing w:after="140"/>
      </w:pPr>
      <w:r>
        <w:rPr>
          <w:rFonts w:ascii="Arial" w:cs="Arial" w:eastAsia="Arial" w:hAnsi="Arial"/>
          <w:sz w:val="20"/>
          <w:szCs w:val="20"/>
        </w:rPr>
        <w:t xml:space="preserve">WWE's access control model is a hybrid architecture combining Role-Based Access Control (RBAC) as the primary framework with a Mandatory Access Control (MAC) overlay applied to the Creative &amp; Talent IP data tier. This hybrid approach is selected because it addresses two distinct access control requirements simultaneously:</w:t>
      </w:r>
    </w:p>
    <w:p>
      <w:pPr>
        <w:spacing w:after="140"/>
      </w:pPr>
    </w:p>
    <w:p>
      <w:pPr>
        <w:pStyle w:val="ListParagraph"/>
        <w:numPr>
          <w:ilvl w:val="0"/>
          <w:numId w:val="2"/>
        </w:numPr>
        <w:spacing w:after="80"/>
      </w:pPr>
      <w:r>
        <w:rPr>
          <w:rFonts w:ascii="Arial" w:cs="Arial" w:eastAsia="Arial" w:hAnsi="Arial"/>
          <w:sz w:val="20"/>
          <w:szCs w:val="20"/>
        </w:rPr>
        <w:t xml:space="preserve">RBAC satisfies the operational need for scalable, maintainable access management across WWE's 2,000+ enterprise staff. Rather than managing permissions per-user (Discretionary Access Control / DAC — which does not scale), roles aligned to job functions are created once and assigned to users. When a staff member changes roles, their access profile changes with a single group membership update.</w:t>
      </w:r>
    </w:p>
    <w:p>
      <w:pPr>
        <w:pStyle w:val="ListParagraph"/>
        <w:numPr>
          <w:ilvl w:val="0"/>
          <w:numId w:val="2"/>
        </w:numPr>
        <w:spacing w:after="80"/>
      </w:pPr>
      <w:r>
        <w:rPr>
          <w:rFonts w:ascii="Arial" w:cs="Arial" w:eastAsia="Arial" w:hAnsi="Arial"/>
          <w:sz w:val="20"/>
          <w:szCs w:val="20"/>
        </w:rPr>
        <w:t xml:space="preserve">MAC overlay on Creative/Talent IP addresses the specific confidentiality requirement that certain data — match outcomes, talent signings, storyline documents — must not be accessible by users in any role unless they hold a specific clearance label, regardless of their job-function role. A creative writer may have RBAC access to the Creative VLAN but must additionally hold a 'Storyline-Confidential' label to access the most sensitive creative documents.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10"/>
              <w:bottom w:type="dxa" w:w="100"/>
              <w:right w:type="dxa" w:w="110"/>
            </w:tcMar>
            <w:vAlign w:val="center"/>
          </w:tcPr>
          <w:p>
            <w:pPr>
              <w:jc w:val="center"/>
            </w:pPr>
            <w:r>
              <w:rPr>
                <w:rFonts w:ascii="Arial" w:cs="Arial" w:eastAsia="Arial" w:hAnsi="Arial"/>
                <w:b/>
                <w:bCs/>
                <w:color w:val="FFFFFF"/>
                <w:sz w:val="17"/>
                <w:szCs w:val="17"/>
              </w:rPr>
              <w:t xml:space="preserve">MODEL DEFINITION</w:t>
            </w:r>
          </w:p>
        </w:tc>
        <w:tc>
          <w:tcPr>
            <w:tcW w:type="dxa" w:w="7920"/>
            <w:tcBorders>
              <w:top w:val="single" w:color="1B3A6B" w:sz="1"/>
              <w:left w:val="single" w:color="1B3A6B" w:sz="1"/>
              <w:bottom w:val="single" w:color="1B3A6B" w:sz="1"/>
              <w:right w:val="single" w:color="1B3A6B" w:sz="1"/>
            </w:tcBorders>
            <w:shd w:fill="D6E4F0" w:val="clear"/>
            <w:tcMar>
              <w:top w:type="dxa" w:w="100"/>
              <w:left w:type="dxa" w:w="150"/>
              <w:bottom w:type="dxa" w:w="100"/>
              <w:right w:type="dxa" w:w="150"/>
            </w:tcMar>
          </w:tcPr>
          <w:p>
            <w:r>
              <w:rPr>
                <w:rFonts w:ascii="Arial" w:cs="Arial" w:eastAsia="Arial" w:hAnsi="Arial"/>
                <w:sz w:val="19"/>
                <w:szCs w:val="19"/>
              </w:rPr>
              <w:t xml:space="preserve">RBAC (Role-Based Access Control): permissions are assigned to roles; users acquire permissions by being assigned to roles. MAC (Mandatory Access Control): the system enforces access based on classification labels assigned to both subjects (users) and objects (data/resources) — no user can grant another user access to data above their label.</w:t>
            </w:r>
          </w:p>
        </w:tc>
      </w:tr>
    </w:tbl>
    <w:p>
      <w:pPr>
        <w:spacing w:after="140"/>
      </w:pPr>
    </w:p>
    <w:p>
      <w:pPr>
        <w:pStyle w:val="Heading2"/>
        <w:spacing w:after="120" w:before="300"/>
      </w:pPr>
      <w:r>
        <w:rPr>
          <w:rFonts w:ascii="Arial" w:cs="Arial" w:eastAsia="Arial" w:hAnsi="Arial"/>
          <w:b/>
          <w:bCs/>
          <w:color w:val="9B1C1C"/>
          <w:sz w:val="24"/>
          <w:szCs w:val="24"/>
        </w:rPr>
        <w:t xml:space="preserve">4.2 RBAC Implementation — Active Directory Security Groups</w:t>
      </w:r>
    </w:p>
    <w:p>
      <w:pPr>
        <w:pStyle w:val="Heading3"/>
        <w:spacing w:after="80" w:before="220"/>
      </w:pPr>
      <w:r>
        <w:rPr>
          <w:rFonts w:ascii="Arial" w:cs="Arial" w:eastAsia="Arial" w:hAnsi="Arial"/>
          <w:b/>
          <w:bCs/>
          <w:color w:val="1F2937"/>
          <w:sz w:val="21"/>
          <w:szCs w:val="21"/>
        </w:rPr>
        <w:t xml:space="preserve">4.2.1 Role Hierarchy</w:t>
      </w:r>
    </w:p>
    <w:p>
      <w:pPr>
        <w:spacing w:after="140"/>
      </w:pPr>
      <w:r>
        <w:rPr>
          <w:rFonts w:ascii="Arial" w:cs="Arial" w:eastAsia="Arial" w:hAnsi="Arial"/>
          <w:sz w:val="20"/>
          <w:szCs w:val="20"/>
        </w:rPr>
        <w:t xml:space="preserve">The WWE RBAC model defines the following primary roles, implemented as Active Directory Security Groups in the WWE.corp domain: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AD Security Group</w:t>
            </w:r>
          </w:p>
        </w:tc>
        <w:tc>
          <w:tcPr>
            <w:tcW w:type="dxa" w:w="316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Role / Job Function</w:t>
            </w:r>
          </w:p>
        </w:tc>
        <w:tc>
          <w:tcPr>
            <w:tcW w:type="dxa" w:w="38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Base Permissions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WWE-ROLE-Executive</w:t>
            </w:r>
          </w:p>
        </w:tc>
        <w:tc>
          <w:tcPr>
            <w:tcW w:type="dxa" w:w="3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C-Suite, EVP, GM</w:t>
            </w:r>
          </w:p>
        </w:tc>
        <w:tc>
          <w:tcPr>
            <w:tcW w:type="dxa" w:w="3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Full access to all data tiers except MAC-restricted documents (require MAC label addition)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WWE-ROLE-CreativeTalent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Creative writers, Talent Relations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Full access to VLAN 10 Creative/Talent; MAC label required for Storyline-Confidential docs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WWE-ROLE-Production</w:t>
            </w:r>
          </w:p>
        </w:tc>
        <w:tc>
          <w:tcPr>
            <w:tcW w:type="dxa" w:w="3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Producers, A/V, Broadcast eng.</w:t>
            </w:r>
          </w:p>
        </w:tc>
        <w:tc>
          <w:tcPr>
            <w:tcW w:type="dxa" w:w="3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Full access to VLAN 20 Production; read-only to VLAN 40 Corporate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WWE-ROLE-Finance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Finance, Accounting, Payroll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Full access to VLAN 30 Finance; SOX system access governed by ACL in Section 3</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WWE-ROLE-Marketing</w:t>
            </w:r>
          </w:p>
        </w:tc>
        <w:tc>
          <w:tcPr>
            <w:tcW w:type="dxa" w:w="3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Marketing, PR, Social media</w:t>
            </w:r>
          </w:p>
        </w:tc>
        <w:tc>
          <w:tcPr>
            <w:tcW w:type="dxa" w:w="3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Access to VLAN 40 Corporate IT; limited read to production asset library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WWE-ROLE-ITOps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IT Operations, Helpdesk, NOC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Admin access to infrastructure; no access to Creative/Talent MAC-tier without IT Director approval</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WWE-ROLE-SecurityOps</w:t>
            </w:r>
          </w:p>
        </w:tc>
        <w:tc>
          <w:tcPr>
            <w:tcW w:type="dxa" w:w="3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 analysts, Infosec engineers</w:t>
            </w:r>
          </w:p>
        </w:tc>
        <w:tc>
          <w:tcPr>
            <w:tcW w:type="dxa" w:w="3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Read access to all VLAN logs; no access to content/talent data; admin on security tools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WWE-ROLE-Vendor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Third-party vendors, contractors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Limited access to specific systems via VLAN 60 Guest/Partner only; no internal VLAN access</w:t>
            </w:r>
          </w:p>
        </w:tc>
      </w:tr>
    </w:tbl>
    <w:p>
      <w:pPr>
        <w:spacing w:after="140"/>
      </w:pPr>
    </w:p>
    <w:p>
      <w:pPr>
        <w:pStyle w:val="Heading3"/>
        <w:spacing w:after="80" w:before="220"/>
      </w:pPr>
      <w:r>
        <w:rPr>
          <w:rFonts w:ascii="Arial" w:cs="Arial" w:eastAsia="Arial" w:hAnsi="Arial"/>
          <w:b/>
          <w:bCs/>
          <w:color w:val="1F2937"/>
          <w:sz w:val="21"/>
          <w:szCs w:val="21"/>
        </w:rPr>
        <w:t xml:space="preserve">4.2.2 RBAC Implementation in Active Directory — PowerShell Configuration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0A0F1A" w:val="clear"/>
            <w:tcMar>
              <w:top w:type="dxa" w:w="180"/>
              <w:left w:type="dxa" w:w="260"/>
              <w:bottom w:type="dxa" w:w="180"/>
              <w:right w:type="dxa" w:w="260"/>
            </w:tcMar>
          </w:tcPr>
          <w:p>
            <w:pPr>
              <w:spacing w:after="20"/>
            </w:pPr>
            <w:r>
              <w:rPr>
                <w:rFonts w:ascii="Courier New" w:cs="Courier New" w:eastAsia="Courier New" w:hAnsi="Courier New"/>
                <w:color w:val="FFE066"/>
                <w:sz w:val="18"/>
                <w:szCs w:val="18"/>
              </w:rPr>
              <w:t xml:space="preserve"># WWE RBAC — Active Directory Group and Permission Configuration</w:t>
            </w:r>
          </w:p>
          <w:p>
            <w:pPr>
              <w:spacing w:after="20"/>
            </w:pPr>
            <w:r>
              <w:rPr>
                <w:rFonts w:ascii="Courier New" w:cs="Courier New" w:eastAsia="Courier New" w:hAnsi="Courier New"/>
                <w:color w:val="FFE066"/>
                <w:sz w:val="18"/>
                <w:szCs w:val="18"/>
              </w:rPr>
              <w:t xml:space="preserve"># Domain: WWE.corp  |  Run on: DC-WWE-HQ-01  |  April 2026</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Create WWE RBAC Security Groups</w:t>
            </w:r>
          </w:p>
          <w:p>
            <w:pPr>
              <w:spacing w:after="20"/>
            </w:pPr>
            <w:r>
              <w:rPr>
                <w:rFonts w:ascii="Courier New" w:cs="Courier New" w:eastAsia="Courier New" w:hAnsi="Courier New"/>
                <w:color w:val="00E5FF"/>
                <w:sz w:val="18"/>
                <w:szCs w:val="18"/>
              </w:rPr>
              <w:t xml:space="preserve">$groups = @(</w:t>
            </w:r>
          </w:p>
          <w:p>
            <w:pPr>
              <w:spacing w:after="20"/>
            </w:pPr>
            <w:r>
              <w:rPr>
                <w:rFonts w:ascii="Courier New" w:cs="Courier New" w:eastAsia="Courier New" w:hAnsi="Courier New"/>
                <w:color w:val="00E5FF"/>
                <w:sz w:val="18"/>
                <w:szCs w:val="18"/>
              </w:rPr>
              <w:t xml:space="preserve">  'WWE-ROLE-Executive',</w:t>
            </w:r>
          </w:p>
          <w:p>
            <w:pPr>
              <w:spacing w:after="20"/>
            </w:pPr>
            <w:r>
              <w:rPr>
                <w:rFonts w:ascii="Courier New" w:cs="Courier New" w:eastAsia="Courier New" w:hAnsi="Courier New"/>
                <w:color w:val="00E5FF"/>
                <w:sz w:val="18"/>
                <w:szCs w:val="18"/>
              </w:rPr>
              <w:t xml:space="preserve">  'WWE-ROLE-CreativeTalent',</w:t>
            </w:r>
          </w:p>
          <w:p>
            <w:pPr>
              <w:spacing w:after="20"/>
            </w:pPr>
            <w:r>
              <w:rPr>
                <w:rFonts w:ascii="Courier New" w:cs="Courier New" w:eastAsia="Courier New" w:hAnsi="Courier New"/>
                <w:color w:val="00E5FF"/>
                <w:sz w:val="18"/>
                <w:szCs w:val="18"/>
              </w:rPr>
              <w:t xml:space="preserve">  'WWE-ROLE-Production',</w:t>
            </w:r>
          </w:p>
          <w:p>
            <w:pPr>
              <w:spacing w:after="20"/>
            </w:pPr>
            <w:r>
              <w:rPr>
                <w:rFonts w:ascii="Courier New" w:cs="Courier New" w:eastAsia="Courier New" w:hAnsi="Courier New"/>
                <w:color w:val="00E5FF"/>
                <w:sz w:val="18"/>
                <w:szCs w:val="18"/>
              </w:rPr>
              <w:t xml:space="preserve">  'WWE-ROLE-Finance',</w:t>
            </w:r>
          </w:p>
          <w:p>
            <w:pPr>
              <w:spacing w:after="20"/>
            </w:pPr>
            <w:r>
              <w:rPr>
                <w:rFonts w:ascii="Courier New" w:cs="Courier New" w:eastAsia="Courier New" w:hAnsi="Courier New"/>
                <w:color w:val="00E5FF"/>
                <w:sz w:val="18"/>
                <w:szCs w:val="18"/>
              </w:rPr>
              <w:t xml:space="preserve">  'WWE-ROLE-Marketing',</w:t>
            </w:r>
          </w:p>
          <w:p>
            <w:pPr>
              <w:spacing w:after="20"/>
            </w:pPr>
            <w:r>
              <w:rPr>
                <w:rFonts w:ascii="Courier New" w:cs="Courier New" w:eastAsia="Courier New" w:hAnsi="Courier New"/>
                <w:color w:val="00E5FF"/>
                <w:sz w:val="18"/>
                <w:szCs w:val="18"/>
              </w:rPr>
              <w:t xml:space="preserve">  'WWE-ROLE-ITOps',</w:t>
            </w:r>
          </w:p>
          <w:p>
            <w:pPr>
              <w:spacing w:after="20"/>
            </w:pPr>
            <w:r>
              <w:rPr>
                <w:rFonts w:ascii="Courier New" w:cs="Courier New" w:eastAsia="Courier New" w:hAnsi="Courier New"/>
                <w:color w:val="00E5FF"/>
                <w:sz w:val="18"/>
                <w:szCs w:val="18"/>
              </w:rPr>
              <w:t xml:space="preserve">  'WWE-ROLE-SecurityOps',</w:t>
            </w:r>
          </w:p>
          <w:p>
            <w:pPr>
              <w:spacing w:after="20"/>
            </w:pPr>
            <w:r>
              <w:rPr>
                <w:rFonts w:ascii="Courier New" w:cs="Courier New" w:eastAsia="Courier New" w:hAnsi="Courier New"/>
                <w:color w:val="00E5FF"/>
                <w:sz w:val="18"/>
                <w:szCs w:val="18"/>
              </w:rPr>
              <w:t xml:space="preserve">  'WWE-ROLE-Vendor'</w:t>
            </w:r>
          </w:p>
          <w:p>
            <w:pPr>
              <w:spacing w:after="20"/>
            </w:pPr>
            <w:r>
              <w:rPr>
                <w:rFonts w:ascii="Courier New" w:cs="Courier New" w:eastAsia="Courier New" w:hAnsi="Courier New"/>
                <w:color w:val="00E5FF"/>
                <w:sz w:val="18"/>
                <w:szCs w:val="18"/>
              </w:rPr>
              <w:t xml:space="preserv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E5FF"/>
                <w:sz w:val="18"/>
                <w:szCs w:val="18"/>
              </w:rPr>
              <w:t xml:space="preserve">foreach ($group in $groups) {</w:t>
            </w:r>
          </w:p>
          <w:p>
            <w:pPr>
              <w:spacing w:after="20"/>
            </w:pPr>
            <w:r>
              <w:rPr>
                <w:rFonts w:ascii="Courier New" w:cs="Courier New" w:eastAsia="Courier New" w:hAnsi="Courier New"/>
                <w:color w:val="00E5FF"/>
                <w:sz w:val="18"/>
                <w:szCs w:val="18"/>
              </w:rPr>
              <w:t xml:space="preserve">  New-ADGroup -Name $group `</w:t>
            </w:r>
          </w:p>
          <w:p>
            <w:pPr>
              <w:spacing w:after="20"/>
            </w:pPr>
            <w:r>
              <w:rPr>
                <w:rFonts w:ascii="Courier New" w:cs="Courier New" w:eastAsia="Courier New" w:hAnsi="Courier New"/>
                <w:color w:val="00E5FF"/>
                <w:sz w:val="18"/>
                <w:szCs w:val="18"/>
              </w:rPr>
              <w:t xml:space="preserve">    -GroupScope Global `</w:t>
            </w:r>
          </w:p>
          <w:p>
            <w:pPr>
              <w:spacing w:after="20"/>
            </w:pPr>
            <w:r>
              <w:rPr>
                <w:rFonts w:ascii="Courier New" w:cs="Courier New" w:eastAsia="Courier New" w:hAnsi="Courier New"/>
                <w:color w:val="00E5FF"/>
                <w:sz w:val="18"/>
                <w:szCs w:val="18"/>
              </w:rPr>
              <w:t xml:space="preserve">    -GroupCategory Security `</w:t>
            </w:r>
          </w:p>
          <w:p>
            <w:pPr>
              <w:spacing w:after="20"/>
            </w:pPr>
            <w:r>
              <w:rPr>
                <w:rFonts w:ascii="Courier New" w:cs="Courier New" w:eastAsia="Courier New" w:hAnsi="Courier New"/>
                <w:color w:val="00E5FF"/>
                <w:sz w:val="18"/>
                <w:szCs w:val="18"/>
              </w:rPr>
              <w:t xml:space="preserve">    -Path 'OU=RBAC-Roles,DC=WWE,DC=corp' `</w:t>
            </w:r>
          </w:p>
          <w:p>
            <w:pPr>
              <w:spacing w:after="20"/>
            </w:pPr>
            <w:r>
              <w:rPr>
                <w:rFonts w:ascii="Courier New" w:cs="Courier New" w:eastAsia="Courier New" w:hAnsi="Courier New"/>
                <w:color w:val="00E5FF"/>
                <w:sz w:val="18"/>
                <w:szCs w:val="18"/>
              </w:rPr>
              <w:t xml:space="preserve">    -Description 'WWE RBAC Role Group — managed by InfoSec'</w:t>
            </w:r>
          </w:p>
          <w:p>
            <w:pPr>
              <w:spacing w:after="20"/>
            </w:pPr>
            <w:r>
              <w:rPr>
                <w:rFonts w:ascii="Courier New" w:cs="Courier New" w:eastAsia="Courier New" w:hAnsi="Courier New"/>
                <w:color w:val="00FF9F"/>
                <w:sz w:val="18"/>
                <w:szCs w:val="18"/>
              </w:rPr>
              <w:t xml:space="preserve">  Write-Host "Created: $group" -ForegroundColor Green</w:t>
            </w:r>
          </w:p>
          <w:p>
            <w:pPr>
              <w:spacing w:after="20"/>
            </w:pPr>
            <w:r>
              <w:rPr>
                <w:rFonts w:ascii="Courier New" w:cs="Courier New" w:eastAsia="Courier New" w:hAnsi="Courier New"/>
                <w:color w:val="00E5FF"/>
                <w:sz w:val="18"/>
                <w:szCs w:val="18"/>
              </w:rPr>
              <w:t xml:space="preserv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Assign a Finance staff member to Finance role</w:t>
            </w:r>
          </w:p>
          <w:p>
            <w:pPr>
              <w:spacing w:after="20"/>
            </w:pPr>
            <w:r>
              <w:rPr>
                <w:rFonts w:ascii="Courier New" w:cs="Courier New" w:eastAsia="Courier New" w:hAnsi="Courier New"/>
                <w:color w:val="00E5FF"/>
                <w:sz w:val="18"/>
                <w:szCs w:val="18"/>
              </w:rPr>
              <w:t xml:space="preserve">Add-ADGroupMember -Identity 'WWE-ROLE-Finance' -Members 'jsmith'</w:t>
            </w:r>
          </w:p>
          <w:p>
            <w:pPr>
              <w:spacing w:after="20"/>
            </w:pPr>
            <w:r>
              <w:rPr>
                <w:rFonts w:ascii="Courier New" w:cs="Courier New" w:eastAsia="Courier New" w:hAnsi="Courier New"/>
                <w:color w:val="00E5FF"/>
                <w:sz w:val="18"/>
                <w:szCs w:val="18"/>
              </w:rPr>
              <w:t xml:space="preserve">Add-ADGroupMember -Identity 'WWE-ROLE-Finance' -Members 'kwilliams'</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Audit: List all members of a role</w:t>
            </w:r>
          </w:p>
          <w:p>
            <w:pPr>
              <w:spacing w:after="20"/>
            </w:pPr>
            <w:r>
              <w:rPr>
                <w:rFonts w:ascii="Courier New" w:cs="Courier New" w:eastAsia="Courier New" w:hAnsi="Courier New"/>
                <w:color w:val="00E5FF"/>
                <w:sz w:val="18"/>
                <w:szCs w:val="18"/>
              </w:rPr>
              <w:t xml:space="preserve">Get-ADGroupMember -Identity 'WWE-ROLE-Finance' | Select-Object Name, SamAccountName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Output example:</w:t>
            </w:r>
          </w:p>
          <w:p>
            <w:pPr>
              <w:spacing w:after="20"/>
            </w:pPr>
            <w:r>
              <w:rPr>
                <w:rFonts w:ascii="Courier New" w:cs="Courier New" w:eastAsia="Courier New" w:hAnsi="Courier New"/>
                <w:color w:val="00E5FF"/>
                <w:sz w:val="18"/>
                <w:szCs w:val="18"/>
              </w:rPr>
              <w:t xml:space="preserve"># Name             SamAccountName</w:t>
            </w:r>
          </w:p>
          <w:p>
            <w:pPr>
              <w:spacing w:after="20"/>
            </w:pPr>
            <w:r>
              <w:rPr>
                <w:rFonts w:ascii="Courier New" w:cs="Courier New" w:eastAsia="Courier New" w:hAnsi="Courier New"/>
                <w:color w:val="00E5FF"/>
                <w:sz w:val="18"/>
                <w:szCs w:val="18"/>
              </w:rPr>
              <w:t xml:space="preserve"># ----             --------------</w:t>
            </w:r>
          </w:p>
          <w:p>
            <w:pPr>
              <w:spacing w:after="20"/>
            </w:pPr>
            <w:r>
              <w:rPr>
                <w:rFonts w:ascii="Courier New" w:cs="Courier New" w:eastAsia="Courier New" w:hAnsi="Courier New"/>
                <w:color w:val="00FF9F"/>
                <w:sz w:val="18"/>
                <w:szCs w:val="18"/>
              </w:rPr>
              <w:t xml:space="preserve"># Jennifer Smith   jsmith</w:t>
            </w:r>
          </w:p>
          <w:p>
            <w:pPr>
              <w:spacing w:after="20"/>
            </w:pPr>
            <w:r>
              <w:rPr>
                <w:rFonts w:ascii="Courier New" w:cs="Courier New" w:eastAsia="Courier New" w:hAnsi="Courier New"/>
                <w:color w:val="00FF9F"/>
                <w:sz w:val="18"/>
                <w:szCs w:val="18"/>
              </w:rPr>
              <w:t xml:space="preserve"># Kevin Williams   kwilliams</w:t>
            </w:r>
          </w:p>
        </w:tc>
      </w:tr>
    </w:tbl>
    <w:p>
      <w:pPr>
        <w:spacing w:after="140"/>
      </w:pPr>
    </w:p>
    <w:p>
      <w:pPr>
        <w:pStyle w:val="Heading2"/>
        <w:spacing w:after="120" w:before="300"/>
      </w:pPr>
      <w:r>
        <w:rPr>
          <w:rFonts w:ascii="Arial" w:cs="Arial" w:eastAsia="Arial" w:hAnsi="Arial"/>
          <w:b/>
          <w:bCs/>
          <w:color w:val="9B1C1C"/>
          <w:sz w:val="24"/>
          <w:szCs w:val="24"/>
        </w:rPr>
        <w:t xml:space="preserve">4.3 MAC Overlay — Creative &amp; Talent IP Classification</w:t>
      </w:r>
    </w:p>
    <w:p>
      <w:pPr>
        <w:pStyle w:val="Heading3"/>
        <w:spacing w:after="80" w:before="220"/>
      </w:pPr>
      <w:r>
        <w:rPr>
          <w:rFonts w:ascii="Arial" w:cs="Arial" w:eastAsia="Arial" w:hAnsi="Arial"/>
          <w:b/>
          <w:bCs/>
          <w:color w:val="1F2937"/>
          <w:sz w:val="21"/>
          <w:szCs w:val="21"/>
        </w:rPr>
        <w:t xml:space="preserve">4.3.1 Data Classification Labels</w:t>
      </w:r>
    </w:p>
    <w:p>
      <w:pPr>
        <w:spacing w:after="140"/>
      </w:pPr>
      <w:r>
        <w:rPr>
          <w:rFonts w:ascii="Arial" w:cs="Arial" w:eastAsia="Arial" w:hAnsi="Arial"/>
          <w:sz w:val="20"/>
          <w:szCs w:val="20"/>
        </w:rPr>
        <w:t xml:space="preserve">The MAC overlay is implemented as a sensitivity label system applied to all data objects in the Creative/Talent tier. Four classification labels are defined and enforced through Microsoft Purview Information Protection integrated with SharePoint Online and OneDrive for Business: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2000"/>
      </w:tblGrid>
      <w:tr>
        <w:tc>
          <w:tcPr>
            <w:tcW w:type="dxa" w:w="20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MAC Label</w:t>
            </w:r>
          </w:p>
        </w:tc>
        <w:tc>
          <w:tcPr>
            <w:tcW w:type="dxa" w:w="24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c>
          <w:tcPr>
            <w:tcW w:type="dxa" w:w="296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Data Examples</w:t>
            </w:r>
          </w:p>
        </w:tc>
        <w:tc>
          <w:tcPr>
            <w:tcW w:type="dxa" w:w="20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Access Requirement</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WWE-MAC-PUBLIC</w:t>
            </w:r>
          </w:p>
        </w:tc>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Public / Marketing approved</w:t>
            </w:r>
          </w:p>
        </w:tc>
        <w:tc>
          <w:tcPr>
            <w:tcW w:type="dxa" w:w="2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Press releases, finalized merch designs, event announcements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No label — any authenticated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WWE-MAC-INTERNAL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General internal use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Departmental plans, non-sensitive memos, internal schedules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WWE.corp authenticated account</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WWE-MAC-CONFIDENTIAL</w:t>
            </w:r>
          </w:p>
        </w:tc>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Business confidential</w:t>
            </w:r>
          </w:p>
        </w:tc>
        <w:tc>
          <w:tcPr>
            <w:tcW w:type="dxa" w:w="2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Talent salary tiers, venue contracts, production budgets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RBAC role + manager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WWE-MAC-STORYLINE-SECRET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Creative storyline / match IP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Booked match outcomes, talent turn plans, WrestleMania storylines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MAC label grant by Creative VP only</w:t>
            </w:r>
          </w:p>
        </w:tc>
      </w:tr>
    </w:tbl>
    <w:p>
      <w:pPr>
        <w:spacing w:after="140"/>
      </w:pPr>
    </w:p>
    <w:p>
      <w:pPr>
        <w:pStyle w:val="Heading3"/>
        <w:spacing w:after="80" w:before="220"/>
      </w:pPr>
      <w:r>
        <w:rPr>
          <w:rFonts w:ascii="Arial" w:cs="Arial" w:eastAsia="Arial" w:hAnsi="Arial"/>
          <w:b/>
          <w:bCs/>
          <w:color w:val="1F2937"/>
          <w:sz w:val="21"/>
          <w:szCs w:val="21"/>
        </w:rPr>
        <w:t xml:space="preserve">4.3.2 MAC Enforcement Mechanism</w:t>
      </w:r>
    </w:p>
    <w:p>
      <w:pPr>
        <w:spacing w:after="140"/>
      </w:pPr>
      <w:r>
        <w:rPr>
          <w:rFonts w:ascii="Arial" w:cs="Arial" w:eastAsia="Arial" w:hAnsi="Arial"/>
          <w:sz w:val="20"/>
          <w:szCs w:val="20"/>
        </w:rPr>
        <w:t xml:space="preserve">The MAC labels are enforced through Microsoft Purview in the following ways:</w:t>
      </w:r>
    </w:p>
    <w:p>
      <w:pPr>
        <w:spacing w:after="140"/>
      </w:pPr>
    </w:p>
    <w:p>
      <w:pPr>
        <w:pStyle w:val="ListParagraph"/>
        <w:numPr>
          <w:ilvl w:val="0"/>
          <w:numId w:val="2"/>
        </w:numPr>
        <w:spacing w:after="80"/>
      </w:pPr>
      <w:r>
        <w:rPr>
          <w:rFonts w:ascii="Arial" w:cs="Arial" w:eastAsia="Arial" w:hAnsi="Arial"/>
          <w:sz w:val="20"/>
          <w:szCs w:val="20"/>
        </w:rPr>
        <w:t xml:space="preserve">Label-based encryption: Documents labeled WWE-MAC-STORYLINE-SECRET are automatically encrypted with Azure Rights Management. The decryption key is tied to the user's MAC label assignment in Entra ID — not their RBAC role.</w:t>
      </w:r>
    </w:p>
    <w:p>
      <w:pPr>
        <w:pStyle w:val="ListParagraph"/>
        <w:numPr>
          <w:ilvl w:val="0"/>
          <w:numId w:val="2"/>
        </w:numPr>
        <w:spacing w:after="80"/>
      </w:pPr>
      <w:r>
        <w:rPr>
          <w:rFonts w:ascii="Arial" w:cs="Arial" w:eastAsia="Arial" w:hAnsi="Arial"/>
          <w:sz w:val="20"/>
          <w:szCs w:val="20"/>
        </w:rPr>
        <w:t xml:space="preserve">Conditional Access policy: Azure Entra ID Conditional Access Policy CA-007 (WWE-MAC-STORYLINE-ACCESS) requires MFA completion, a compliant device, and the 'Storyline-Secret-Cleared' attribute on the user account before decryption keys are issued.</w:t>
      </w:r>
    </w:p>
    <w:p>
      <w:pPr>
        <w:pStyle w:val="ListParagraph"/>
        <w:numPr>
          <w:ilvl w:val="0"/>
          <w:numId w:val="2"/>
        </w:numPr>
        <w:spacing w:after="80"/>
      </w:pPr>
      <w:r>
        <w:rPr>
          <w:rFonts w:ascii="Arial" w:cs="Arial" w:eastAsia="Arial" w:hAnsi="Arial"/>
          <w:sz w:val="20"/>
          <w:szCs w:val="20"/>
        </w:rPr>
        <w:t xml:space="preserve">No user delegation: Unlike DAC, MAC labels cannot be shared by a user. A Creative VP cannot email a MAC-STORYLINE-SECRET document to an unauthorized colleague and have them open it — the encryption prevents decryption outside of cleared user accounts.</w:t>
      </w:r>
    </w:p>
    <w:p>
      <w:pPr>
        <w:pStyle w:val="ListParagraph"/>
        <w:numPr>
          <w:ilvl w:val="0"/>
          <w:numId w:val="2"/>
        </w:numPr>
        <w:spacing w:after="80"/>
      </w:pPr>
      <w:r>
        <w:rPr>
          <w:rFonts w:ascii="Arial" w:cs="Arial" w:eastAsia="Arial" w:hAnsi="Arial"/>
          <w:sz w:val="20"/>
          <w:szCs w:val="20"/>
        </w:rPr>
        <w:t xml:space="preserve">Label audit trail: All access to MAC-STORYLINE-SECRET documents is logged in Purview Audit with user identity, timestamp, document name, and action (view/edit/download). Logs are retained for 12 months.</w:t>
      </w:r>
    </w:p>
    <w:p>
      <w:pPr>
        <w:spacing w:after="140"/>
      </w:pPr>
    </w:p>
    <w:p>
      <w:pPr>
        <w:pStyle w:val="Heading3"/>
        <w:spacing w:after="80" w:before="220"/>
      </w:pPr>
      <w:r>
        <w:rPr>
          <w:rFonts w:ascii="Arial" w:cs="Arial" w:eastAsia="Arial" w:hAnsi="Arial"/>
          <w:b/>
          <w:bCs/>
          <w:color w:val="1F2937"/>
          <w:sz w:val="21"/>
          <w:szCs w:val="21"/>
        </w:rPr>
        <w:t xml:space="preserve">4.3.3 Azure Conditional Access Policy — MAC Enforcement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0A0F1A" w:val="clear"/>
            <w:tcMar>
              <w:top w:type="dxa" w:w="180"/>
              <w:left w:type="dxa" w:w="260"/>
              <w:bottom w:type="dxa" w:w="180"/>
              <w:right w:type="dxa" w:w="260"/>
            </w:tcMar>
          </w:tcPr>
          <w:p>
            <w:pPr>
              <w:spacing w:after="20"/>
            </w:pPr>
            <w:r>
              <w:rPr>
                <w:rFonts w:ascii="Courier New" w:cs="Courier New" w:eastAsia="Courier New" w:hAnsi="Courier New"/>
                <w:color w:val="FFE066"/>
                <w:sz w:val="18"/>
                <w:szCs w:val="18"/>
              </w:rPr>
              <w:t xml:space="preserve"># Azure Entra ID — Conditional Access Policy CA-007</w:t>
            </w:r>
          </w:p>
          <w:p>
            <w:pPr>
              <w:spacing w:after="20"/>
            </w:pPr>
            <w:r>
              <w:rPr>
                <w:rFonts w:ascii="Courier New" w:cs="Courier New" w:eastAsia="Courier New" w:hAnsi="Courier New"/>
                <w:color w:val="FFE066"/>
                <w:sz w:val="18"/>
                <w:szCs w:val="18"/>
              </w:rPr>
              <w:t xml:space="preserve"># Policy: WWE-MAC-STORYLINE-ACCESS</w:t>
            </w:r>
          </w:p>
          <w:p>
            <w:pPr>
              <w:spacing w:after="20"/>
            </w:pPr>
            <w:r>
              <w:rPr>
                <w:rFonts w:ascii="Courier New" w:cs="Courier New" w:eastAsia="Courier New" w:hAnsi="Courier New"/>
                <w:color w:val="FFE066"/>
                <w:sz w:val="18"/>
                <w:szCs w:val="18"/>
              </w:rPr>
              <w:t xml:space="preserve"># Enforces MAC label access for WWE-MAC-STORYLINE-SECRET documents</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E5FF"/>
                <w:sz w:val="18"/>
                <w:szCs w:val="18"/>
              </w:rPr>
              <w:t xml:space="preserve">Policy Name   : CA-007-WWE-MAC-STORYLINE-ACCESS</w:t>
            </w:r>
          </w:p>
          <w:p>
            <w:pPr>
              <w:spacing w:after="20"/>
            </w:pPr>
            <w:r>
              <w:rPr>
                <w:rFonts w:ascii="Courier New" w:cs="Courier New" w:eastAsia="Courier New" w:hAnsi="Courier New"/>
                <w:color w:val="00FF9F"/>
                <w:sz w:val="18"/>
                <w:szCs w:val="18"/>
              </w:rPr>
              <w:t xml:space="preserve">State         : Enabled</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Assignments:</w:t>
            </w:r>
          </w:p>
          <w:p>
            <w:pPr>
              <w:spacing w:after="20"/>
            </w:pPr>
            <w:r>
              <w:rPr>
                <w:rFonts w:ascii="Courier New" w:cs="Courier New" w:eastAsia="Courier New" w:hAnsi="Courier New"/>
                <w:color w:val="00E5FF"/>
                <w:sz w:val="18"/>
                <w:szCs w:val="18"/>
              </w:rPr>
              <w:t xml:space="preserve">  Users       : Group 'WWE-MAC-StorylineCleared'</w:t>
            </w:r>
          </w:p>
          <w:p>
            <w:pPr>
              <w:spacing w:after="20"/>
            </w:pPr>
            <w:r>
              <w:rPr>
                <w:rFonts w:ascii="Courier New" w:cs="Courier New" w:eastAsia="Courier New" w:hAnsi="Courier New"/>
                <w:color w:val="00E5FF"/>
                <w:sz w:val="18"/>
                <w:szCs w:val="18"/>
              </w:rPr>
              <w:t xml:space="preserve">                (manually curated — Creative VP approval required for membership)</w:t>
            </w:r>
          </w:p>
          <w:p>
            <w:pPr>
              <w:spacing w:after="20"/>
            </w:pPr>
            <w:r>
              <w:rPr>
                <w:rFonts w:ascii="Courier New" w:cs="Courier New" w:eastAsia="Courier New" w:hAnsi="Courier New"/>
                <w:color w:val="00E5FF"/>
                <w:sz w:val="18"/>
                <w:szCs w:val="18"/>
              </w:rPr>
              <w:t xml:space="preserve">  Cloud Apps  : Microsoft 365 (SharePoint / OneDrive / Exchange)</w:t>
            </w:r>
          </w:p>
          <w:p>
            <w:pPr>
              <w:spacing w:after="20"/>
            </w:pPr>
            <w:r>
              <w:rPr>
                <w:rFonts w:ascii="Courier New" w:cs="Courier New" w:eastAsia="Courier New" w:hAnsi="Courier New"/>
                <w:color w:val="00E5FF"/>
                <w:sz w:val="18"/>
                <w:szCs w:val="18"/>
              </w:rPr>
              <w:t xml:space="preserve">  Conditions  :</w:t>
            </w:r>
          </w:p>
          <w:p>
            <w:pPr>
              <w:spacing w:after="20"/>
            </w:pPr>
            <w:r>
              <w:rPr>
                <w:rFonts w:ascii="Courier New" w:cs="Courier New" w:eastAsia="Courier New" w:hAnsi="Courier New"/>
                <w:color w:val="00E5FF"/>
                <w:sz w:val="18"/>
                <w:szCs w:val="18"/>
              </w:rPr>
              <w:t xml:space="preserve">    - Device compliance: Required (Intune-managed, encrypted, patched)</w:t>
            </w:r>
          </w:p>
          <w:p>
            <w:pPr>
              <w:spacing w:after="20"/>
            </w:pPr>
            <w:r>
              <w:rPr>
                <w:rFonts w:ascii="Courier New" w:cs="Courier New" w:eastAsia="Courier New" w:hAnsi="Courier New"/>
                <w:color w:val="00E5FF"/>
                <w:sz w:val="18"/>
                <w:szCs w:val="18"/>
              </w:rPr>
              <w:t xml:space="preserve">    - Sign-in risk     : Block if risk = High or Medium</w:t>
            </w:r>
          </w:p>
          <w:p>
            <w:pPr>
              <w:spacing w:after="20"/>
            </w:pPr>
            <w:r>
              <w:rPr>
                <w:rFonts w:ascii="Courier New" w:cs="Courier New" w:eastAsia="Courier New" w:hAnsi="Courier New"/>
                <w:color w:val="00E5FF"/>
                <w:sz w:val="18"/>
                <w:szCs w:val="18"/>
              </w:rPr>
              <w:t xml:space="preserve">    - User risk        : Block if risk = High</w:t>
            </w:r>
          </w:p>
          <w:p>
            <w:pPr>
              <w:spacing w:after="20"/>
            </w:pPr>
            <w:r>
              <w:rPr>
                <w:rFonts w:ascii="Courier New" w:cs="Courier New" w:eastAsia="Courier New" w:hAnsi="Courier New"/>
                <w:color w:val="00E5FF"/>
                <w:sz w:val="18"/>
                <w:szCs w:val="18"/>
              </w:rPr>
              <w:t xml:space="preserve">    - Locations        : Block if outside approved countries (US, UK, CA, AU)</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Access Controls:</w:t>
            </w:r>
          </w:p>
          <w:p>
            <w:pPr>
              <w:spacing w:after="20"/>
            </w:pPr>
            <w:r>
              <w:rPr>
                <w:rFonts w:ascii="Courier New" w:cs="Courier New" w:eastAsia="Courier New" w:hAnsi="Courier New"/>
                <w:color w:val="00E5FF"/>
                <w:sz w:val="18"/>
                <w:szCs w:val="18"/>
              </w:rPr>
              <w:t xml:space="preserve">  Grant         : Require MFA (phishing-resistant — FIDO2 or MS Authenticator)</w:t>
            </w:r>
          </w:p>
          <w:p>
            <w:pPr>
              <w:spacing w:after="20"/>
            </w:pPr>
            <w:r>
              <w:rPr>
                <w:rFonts w:ascii="Courier New" w:cs="Courier New" w:eastAsia="Courier New" w:hAnsi="Courier New"/>
                <w:color w:val="00E5FF"/>
                <w:sz w:val="18"/>
                <w:szCs w:val="18"/>
              </w:rPr>
              <w:t xml:space="preserve">  Grant         : Require compliant device</w:t>
            </w:r>
          </w:p>
          <w:p>
            <w:pPr>
              <w:spacing w:after="20"/>
            </w:pPr>
            <w:r>
              <w:rPr>
                <w:rFonts w:ascii="Courier New" w:cs="Courier New" w:eastAsia="Courier New" w:hAnsi="Courier New"/>
                <w:color w:val="00E5FF"/>
                <w:sz w:val="18"/>
                <w:szCs w:val="18"/>
              </w:rPr>
              <w:t xml:space="preserve">  Session       : App-enforced restrictions (no download without DLP policy match)</w:t>
            </w:r>
          </w:p>
          <w:p>
            <w:pPr>
              <w:spacing w:after="20"/>
            </w:pPr>
            <w:r>
              <w:rPr>
                <w:rFonts w:ascii="Courier New" w:cs="Courier New" w:eastAsia="Courier New" w:hAnsi="Courier New"/>
                <w:color w:val="00E5FF"/>
                <w:sz w:val="18"/>
                <w:szCs w:val="18"/>
              </w:rPr>
              <w:t xml:space="preserve">  Sign-in freq  : Every 4 hours (re-authenticate for persistent sessions)</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DLP Integration (Microsoft Purview):</w:t>
            </w:r>
          </w:p>
          <w:p>
            <w:pPr>
              <w:spacing w:after="20"/>
            </w:pPr>
            <w:r>
              <w:rPr>
                <w:rFonts w:ascii="Courier New" w:cs="Courier New" w:eastAsia="Courier New" w:hAnsi="Courier New"/>
                <w:color w:val="00E5FF"/>
                <w:sz w:val="18"/>
                <w:szCs w:val="18"/>
              </w:rPr>
              <w:t xml:space="preserve">  Rule          : Block external sharing of WWE-MAC-STORYLINE-SECRET labeled docs</w:t>
            </w:r>
          </w:p>
          <w:p>
            <w:pPr>
              <w:spacing w:after="20"/>
            </w:pPr>
            <w:r>
              <w:rPr>
                <w:rFonts w:ascii="Courier New" w:cs="Courier New" w:eastAsia="Courier New" w:hAnsi="Courier New"/>
                <w:color w:val="00E5FF"/>
                <w:sz w:val="18"/>
                <w:szCs w:val="18"/>
              </w:rPr>
              <w:t xml:space="preserve">  Rule          : Watermark all printed / downloaded copies with user name + date</w:t>
            </w:r>
          </w:p>
          <w:p>
            <w:pPr>
              <w:spacing w:after="20"/>
            </w:pPr>
            <w:r>
              <w:rPr>
                <w:rFonts w:ascii="Courier New" w:cs="Courier New" w:eastAsia="Courier New" w:hAnsi="Courier New"/>
                <w:color w:val="00E5FF"/>
                <w:sz w:val="18"/>
                <w:szCs w:val="18"/>
              </w:rPr>
              <w:t xml:space="preserve">  Rule          : Alert SOC on download of &gt;3 STORYLINE-SECRET docs in 1 hour</w:t>
            </w:r>
          </w:p>
        </w:tc>
      </w:tr>
    </w:tbl>
    <w:p>
      <w:pPr>
        <w:spacing w:after="140"/>
      </w:pPr>
    </w:p>
    <w:p>
      <w:pPr>
        <w:pStyle w:val="Heading2"/>
        <w:spacing w:after="120" w:before="300"/>
      </w:pPr>
      <w:r>
        <w:rPr>
          <w:rFonts w:ascii="Arial" w:cs="Arial" w:eastAsia="Arial" w:hAnsi="Arial"/>
          <w:b/>
          <w:bCs/>
          <w:color w:val="9B1C1C"/>
          <w:sz w:val="24"/>
          <w:szCs w:val="24"/>
        </w:rPr>
        <w:t xml:space="preserve">4.4 RBAC vs. MAC — Comparison and Selection Justification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Dimension</w:t>
            </w:r>
          </w:p>
        </w:tc>
        <w:tc>
          <w:tcPr>
            <w:tcW w:type="dxa" w:w="252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RBAC (Primary Model)</w:t>
            </w:r>
          </w:p>
        </w:tc>
        <w:tc>
          <w:tcPr>
            <w:tcW w:type="dxa" w:w="252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MAC (Overlay — Creative Tier)</w:t>
            </w:r>
          </w:p>
        </w:tc>
        <w:tc>
          <w:tcPr>
            <w:tcW w:type="dxa" w:w="252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DAC (Why Not Used)</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Who decides access</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Administrators assign users to roles</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System enforces based on label — no admin override</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Data owner decides — creates inconsistency at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Scalability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High — role assignment scales across thousands of users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Medium — label grants are tightly controlled by design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Low — owner management unmanageable at WWE scale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Flexibility</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High — roles can be updated by IT Ops centrally</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Low (by design) — MAC enforces strict label hierarchy</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High — but too flexible for high-sensitivity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Audit trail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AD group membership changes logged via Azure Audit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Purview audit: every label access event logged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Owner-managed — inconsistent audit coverage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WWE use case fit</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Enterprise workforce access management — primary model</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Creative/Talent storyline IP — critical confidentiality</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Not deployed — replaced by RBAC for operational access</w:t>
            </w:r>
          </w:p>
        </w:tc>
      </w:tr>
    </w:tbl>
    <w:p>
      <w:pPr>
        <w:spacing w:after="140"/>
      </w:pPr>
    </w:p>
    <w:p>
      <w:r>
        <w:br w:type="page"/>
      </w:r>
    </w:p>
    <w:p>
      <w:pPr>
        <w:pStyle w:val="Heading1"/>
        <w:pBdr>
          <w:bottom w:val="single" w:color="B8860B" w:sz="8" w:space="4"/>
        </w:pBdr>
        <w:spacing w:after="160" w:before="420"/>
      </w:pPr>
      <w:r>
        <w:rPr>
          <w:rFonts w:ascii="Arial" w:cs="Arial" w:eastAsia="Arial" w:hAnsi="Arial"/>
          <w:b/>
          <w:bCs/>
          <w:color w:val="0A0A0A"/>
          <w:sz w:val="30"/>
          <w:szCs w:val="30"/>
        </w:rPr>
        <w:t xml:space="preserve">5. User Access Levels</w:t>
      </w:r>
    </w:p>
    <w:p>
      <w:pPr>
        <w:pStyle w:val="Heading2"/>
        <w:spacing w:after="120" w:before="300"/>
      </w:pPr>
      <w:r>
        <w:rPr>
          <w:rFonts w:ascii="Arial" w:cs="Arial" w:eastAsia="Arial" w:hAnsi="Arial"/>
          <w:b/>
          <w:bCs/>
          <w:color w:val="9B1C1C"/>
          <w:sz w:val="24"/>
          <w:szCs w:val="24"/>
        </w:rPr>
        <w:t xml:space="preserve">5.1 Access Level Framework Overview</w:t>
      </w:r>
    </w:p>
    <w:p>
      <w:pPr>
        <w:spacing w:after="140"/>
      </w:pPr>
      <w:r>
        <w:rPr>
          <w:rFonts w:ascii="Arial" w:cs="Arial" w:eastAsia="Arial" w:hAnsi="Arial"/>
          <w:sz w:val="20"/>
          <w:szCs w:val="20"/>
        </w:rPr>
        <w:t xml:space="preserve">WWE's user access level framework defines five tiers of access, from Level 1 (Read-Only / General Public Facing) through Level 5 (Executive / Privileged). Each level carries specific permissions, authentication requirements, audit obligations, and provisioning workflows. The framework applies enterprise-wide — to all WWE systems, data stores, and network segments — and is the definitive reference for access provisioning decisions made by the IT Ops and Information Security teams.</w:t>
      </w:r>
    </w:p>
    <w:p>
      <w:pPr>
        <w:spacing w:after="140"/>
      </w:pPr>
    </w:p>
    <w:p>
      <w:pPr>
        <w:spacing w:after="140"/>
      </w:pPr>
      <w:r>
        <w:rPr>
          <w:rFonts w:ascii="Arial" w:cs="Arial" w:eastAsia="Arial" w:hAnsi="Arial"/>
          <w:sz w:val="20"/>
          <w:szCs w:val="20"/>
        </w:rPr>
        <w:t xml:space="preserve">This tiered model operationalizes the RBAC groups defined in Section 4, translating abstract role membership into concrete access permissions, authentication controls, and monitoring requirements per tier. Each user in the WWE enterprise is assigned exactly one primary access level, which may be supplemented with MAC label clearances for Creative/Talent tier data (Section 4.3).</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8860B" w:sz="1"/>
              <w:left w:val="single" w:color="B8860B" w:sz="1"/>
              <w:bottom w:val="single" w:color="B8860B" w:sz="1"/>
              <w:right w:val="single" w:color="B8860B" w:sz="1"/>
            </w:tcBorders>
            <w:shd w:fill="B8860B" w:val="clear"/>
            <w:tcMar>
              <w:top w:type="dxa" w:w="100"/>
              <w:left w:type="dxa" w:w="110"/>
              <w:bottom w:type="dxa" w:w="100"/>
              <w:right w:type="dxa" w:w="110"/>
            </w:tcMar>
            <w:vAlign w:val="center"/>
          </w:tcPr>
          <w:p>
            <w:pPr>
              <w:jc w:val="center"/>
            </w:pPr>
            <w:r>
              <w:rPr>
                <w:rFonts w:ascii="Arial" w:cs="Arial" w:eastAsia="Arial" w:hAnsi="Arial"/>
                <w:b/>
                <w:bCs/>
                <w:color w:val="FFFFFF"/>
                <w:sz w:val="17"/>
                <w:szCs w:val="17"/>
              </w:rPr>
              <w:t xml:space="preserve">PROVISIONING PRINCIPLE</w:t>
            </w:r>
          </w:p>
        </w:tc>
        <w:tc>
          <w:tcPr>
            <w:tcW w:type="dxa" w:w="7920"/>
            <w:tcBorders>
              <w:top w:val="single" w:color="B8860B" w:sz="1"/>
              <w:left w:val="single" w:color="B8860B" w:sz="1"/>
              <w:bottom w:val="single" w:color="B8860B" w:sz="1"/>
              <w:right w:val="single" w:color="B8860B" w:sz="1"/>
            </w:tcBorders>
            <w:shd w:fill="FFF8DC" w:val="clear"/>
            <w:tcMar>
              <w:top w:type="dxa" w:w="100"/>
              <w:left w:type="dxa" w:w="150"/>
              <w:bottom w:type="dxa" w:w="100"/>
              <w:right w:type="dxa" w:w="150"/>
            </w:tcMar>
          </w:tcPr>
          <w:p>
            <w:r>
              <w:rPr>
                <w:rFonts w:ascii="Arial" w:cs="Arial" w:eastAsia="Arial" w:hAnsi="Arial"/>
                <w:sz w:val="19"/>
                <w:szCs w:val="19"/>
              </w:rPr>
              <w:t xml:space="preserve">No user may self-provision access. All level assignments require a formal access request via the WWE ServiceNow portal, manager approval, and InfoSec team review for Levels 3 and above. Privileged access (Levels 4-5) requires quarterly re-certification by the user's direct manager.</w:t>
            </w:r>
          </w:p>
        </w:tc>
      </w:tr>
    </w:tbl>
    <w:p>
      <w:pPr>
        <w:spacing w:after="140"/>
      </w:pPr>
    </w:p>
    <w:p>
      <w:pPr>
        <w:pStyle w:val="Heading2"/>
        <w:spacing w:after="120" w:before="300"/>
      </w:pPr>
      <w:r>
        <w:rPr>
          <w:rFonts w:ascii="Arial" w:cs="Arial" w:eastAsia="Arial" w:hAnsi="Arial"/>
          <w:b/>
          <w:bCs/>
          <w:color w:val="9B1C1C"/>
          <w:sz w:val="24"/>
          <w:szCs w:val="24"/>
        </w:rPr>
        <w:t xml:space="preserve">5.2 Access Level Definitions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00"/>
              <w:left w:type="dxa" w:w="200"/>
              <w:bottom w:type="dxa" w:w="100"/>
              <w:right w:type="dxa" w:w="200"/>
            </w:tcMar>
          </w:tcPr>
          <w:p>
            <w:r>
              <w:rPr>
                <w:rFonts w:ascii="Arial" w:cs="Arial" w:eastAsia="Arial" w:hAnsi="Arial"/>
                <w:b/>
                <w:bCs/>
                <w:color w:val="FFFFFF"/>
                <w:sz w:val="20"/>
                <w:szCs w:val="20"/>
              </w:rPr>
              <w:t xml:space="preserve">LEVEL 1 — Read-Only / General Corporate Access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AD Groups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WWE-ROLE-Marketing (read portions)  |  New hire onboarding accounts  |  Guest/Vendor accounts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Users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Contractors, interns, newly onboarded staff (first 30 days), external marketing agencies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Network Access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60 (Guest/Partner) or read-only subset of VLAN 40 (Corporate IT) — no access to VLANs 10, 20, 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System Permissions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Read-only to approved SharePoint sites (WWE-INTERNAL and WWE-PUBLIC label only)  |  Email (receive-only from internal, no external send)  |  WWE Intranet read access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Authentication</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Password only (single-factor) — active session monitoring; no MFA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Data Access Label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WWE-MAC-PUBLIC and WWE-MAC-INTERNAL only — no access to CONFIDENTIAL or STORYLINE-SECRET</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Provisioning</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Auto-provisioned by IT Ops on day 1 via HR system integration — no manager approval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Audit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Standard account activity logging — monthly review by IT Ops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Duration</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30-day auto-expiry for contractor/intern accounts — manual renewal with manager sign-off</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00"/>
              <w:left w:type="dxa" w:w="200"/>
              <w:bottom w:type="dxa" w:w="100"/>
              <w:right w:type="dxa" w:w="200"/>
            </w:tcMar>
          </w:tcPr>
          <w:p>
            <w:r>
              <w:rPr>
                <w:rFonts w:ascii="Arial" w:cs="Arial" w:eastAsia="Arial" w:hAnsi="Arial"/>
                <w:b/>
                <w:bCs/>
                <w:color w:val="FFFFFF"/>
                <w:sz w:val="20"/>
                <w:szCs w:val="20"/>
              </w:rPr>
              <w:t xml:space="preserve">LEVEL 2 — Standard Employee Access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AD Groups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WWE-ROLE-Marketing  |  WWE-ROLE-Production (limited)  |  WWE-ROLE-ITOps (helpdesk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Users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Full-time corporate employees in non-sensitive departments (Marketing, Events, Ops, HR generalists)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Network Access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Full VLAN 40 (Corporate IT)  |  Read access to VLAN 20 Production asset library  |  No VLAN 10, 30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System Permissions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Full Microsoft 365 (Teams, SharePoint, OneDrive, Exchange)  |  WWE Intranet full read/write  |  HR self-service portal  |  Approved SaaS tools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Authentication</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MFA required (Microsoft Authenticator TOTP)  |  Conditional access: must use compliant device on managed network or VPN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Data Access Label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WWE-MAC-PUBLIC and WWE-MAC-INTERNAL  |  WWE-MAC-CONFIDENTIAL only with manager approval and InfoSec review</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Provisioning</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Manager submits ServiceNow request  |  IT Ops provisions within 1 business day  |  No InfoSec review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Audit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Microsoft Entra ID sign-in logs  |  SharePoint access logs  |  Anomaly alerting via Microsoft Sentinel</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Duration</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Active for duration of employment — annual access recertification required (manager signs off)</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1C1C" w:val="clear"/>
            <w:tcMar>
              <w:top w:type="dxa" w:w="100"/>
              <w:left w:type="dxa" w:w="200"/>
              <w:bottom w:type="dxa" w:w="100"/>
              <w:right w:type="dxa" w:w="200"/>
            </w:tcMar>
          </w:tcPr>
          <w:p>
            <w:r>
              <w:rPr>
                <w:rFonts w:ascii="Arial" w:cs="Arial" w:eastAsia="Arial" w:hAnsi="Arial"/>
                <w:b/>
                <w:bCs/>
                <w:color w:val="FFFFFF"/>
                <w:sz w:val="20"/>
                <w:szCs w:val="20"/>
              </w:rPr>
              <w:t xml:space="preserve">LEVEL 3 — Elevated / Departmental Lead Access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AD Groups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WWE-ROLE-CreativeTalent  |  WWE-ROLE-Finance  |  WWE-ROLE-Production  |  WWE-ROLE-SecurityOps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Users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Creative writers, Talent Relations managers, Finance analysts, Senior producers, SOC analysts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Network Access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Full access to role-appropriate VLAN (10 for Creative/Talent, 30 for Finance, 20 for Production)  |  Read VLAN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System Permissions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Full departmental system access (SAP ERP for Finance, SharePoint Creative/Talent sites, Avid Media Composer for Production)  |  No cross-departmental elevated access without explicit InfoSec approval</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Authentication</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Phishing-resistant MFA required (FIDO2 security key or Microsoft Authenticator push with number matching)  |  Conditional Access: compliant device + approved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Data Access Label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WWE-MAC-CONFIDENTIAL included  |  WWE-MAC-STORYLINE-SECRET requires additional Creative VP MAC clearance grant (per Section 4.3)</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Provisioning</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Manager + Department Head approval via ServiceNow  |  InfoSec review of access scope  |  Provisioning within 2 business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Audit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Full Purview audit for document access  |  SOC reviewed quarterly  |  SIEM correlation for privilege escalation attempts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Duration</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Active for role duration  |  Quarterly recertification by Department Head  |  Immediate revocation on role change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100"/>
              <w:left w:type="dxa" w:w="200"/>
              <w:bottom w:type="dxa" w:w="100"/>
              <w:right w:type="dxa" w:w="200"/>
            </w:tcMar>
          </w:tcPr>
          <w:p>
            <w:r>
              <w:rPr>
                <w:rFonts w:ascii="Arial" w:cs="Arial" w:eastAsia="Arial" w:hAnsi="Arial"/>
                <w:b/>
                <w:bCs/>
                <w:color w:val="FFFFFF"/>
                <w:sz w:val="20"/>
                <w:szCs w:val="20"/>
              </w:rPr>
              <w:t xml:space="preserve">LEVEL 4 — Privileged / IT Administrator Access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AD Groups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WWE-ROLE-ITOps (senior)  |  WWE-ROLE-SecurityOps (senior analysts + engineers)  |  Privileged Access Workstation (PAW) group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Users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Senior IT engineers, Network admins, Senior SOC analysts, System administrators, InfoSec engineers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Network Access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Admin access to infrastructure VLANs and all network management interfaces  |  SOC access to all VLAN log streams  |  No standing access to VLAN 10/30 content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System Permissions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Domain admin rights on scoped OU only (no enterprise-wide DA)  |  Privileged access via CyberArk PAM vault (no direct credential knowledge)  |  SIEM admin  |  Firewall policy management (dual-approval)</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Authentication</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Privileged sessions via CyberArk Privileged Access Manager only  |  No direct login to production systems  |  All sessions recorded  |  FIDO2 mandatory for CyberArk vault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Data Access Label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WWE-MAC-INTERNAL and WWE-MAC-CONFIDENTIAL for IT purposes only  |  No access to WWE-MAC-STORYLINE-SECRET or talent contract data</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Provisioning</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IT Director + CISO co-approval required  |  InfoSec baseline review of all requested permissions  |  1-week provisioning window (background check may apply)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Audit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privileged sessions recorded in CyberArk  |  Weekly automated review of admin activity  |  SOC monitors all Level 4 logins in real time  |  PIM/PAM session review on-demand</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Duration</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Active while in IT/Security role  |  Quarterly recertification by IT Director and CISO  |  Annual Privileged Access Review (PAR)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1D1D" w:val="clear"/>
            <w:tcMar>
              <w:top w:type="dxa" w:w="100"/>
              <w:left w:type="dxa" w:w="200"/>
              <w:bottom w:type="dxa" w:w="100"/>
              <w:right w:type="dxa" w:w="200"/>
            </w:tcMar>
          </w:tcPr>
          <w:p>
            <w:r>
              <w:rPr>
                <w:rFonts w:ascii="Arial" w:cs="Arial" w:eastAsia="Arial" w:hAnsi="Arial"/>
                <w:b/>
                <w:bCs/>
                <w:color w:val="FFFFFF"/>
                <w:sz w:val="20"/>
                <w:szCs w:val="20"/>
              </w:rPr>
              <w:t xml:space="preserve">LEVEL 5 — Executive / C-Suite Access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AD Groups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WWE-ROLE-Executive  |  C-Suite OU in Active Directory  |  WWE-MAC-StorylineCleared (pre-granted)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Users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CEO, CFO, COO, CTO, CHRO, General Counsel, EVP of Creative, President of Live Events — and their designated chiefs of staff</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Network Access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Full enterprise network access across all VLANs  |  Access via managed executive device only  |  Mobility access via WWE VPN with certificate authentication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System Permissions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Full read access to all data categories  |  Write access limited to own departmental systems  |  Board materials portal access  |  TKO Group Holdings integration access (post-merger reporting)</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Authentication</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Phishing-resistant MFA (FIDO2) mandatory on all sessions  |  Dedicated executive Conditional Access policy with stricter sign-in frequency (2-hour session timeout)  |  Geographic restriction enforced  |  All logins generate SOC notification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Data Access Label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WWE-MAC-STORYLINE-SECRET pre-granted (Creative EVP grants on appointment)  |  WWE-MAC-CONFIDENTIAL full  |  All other labels included</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Provisioning</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CISO + CEO/COO approval for initial provisioning  |  IT provides dedicated executive support for device and account configuration  |  Quarterly re-attestation by Board-level authorization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Audit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access to SOX-controlled systems (VLAN 30 Finance) generates CFO notification  |  All STORYLINE-SECRET access logged and reviewed by Legal  |  Annual third-party access review for SOX compliance</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Duration</w:t>
            </w:r>
          </w:p>
        </w:tc>
        <w:tc>
          <w:tcPr>
            <w:tcW w:type="dxa" w:w="7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Active for tenure  |  Immediate revocation protocol on departure (CISO executes within 1 hour of HR notification)  |  Legal hold process on all accessed data upon departure</w:t>
            </w:r>
          </w:p>
        </w:tc>
      </w:tr>
    </w:tbl>
    <w:p>
      <w:pPr>
        <w:spacing w:after="140"/>
      </w:pPr>
    </w:p>
    <w:p>
      <w:pPr>
        <w:pStyle w:val="Heading2"/>
        <w:spacing w:after="120" w:before="300"/>
      </w:pPr>
      <w:r>
        <w:rPr>
          <w:rFonts w:ascii="Arial" w:cs="Arial" w:eastAsia="Arial" w:hAnsi="Arial"/>
          <w:b/>
          <w:bCs/>
          <w:color w:val="9B1C1C"/>
          <w:sz w:val="24"/>
          <w:szCs w:val="24"/>
        </w:rPr>
        <w:t xml:space="preserve">5.3 Permission Matrix — Access Levels vs. WWE Systems</w:t>
      </w:r>
    </w:p>
    <w:p>
      <w:pPr>
        <w:spacing w:after="140"/>
      </w:pPr>
      <w:r>
        <w:rPr>
          <w:rFonts w:ascii="Arial" w:cs="Arial" w:eastAsia="Arial" w:hAnsi="Arial"/>
          <w:sz w:val="20"/>
          <w:szCs w:val="20"/>
        </w:rPr>
        <w:t xml:space="preserve">The following matrix summarizes the access permissions of each level across WWE's primary systems and data categories: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000"/>
        <w:gridCol w:w="1000"/>
        <w:gridCol w:w="1000"/>
        <w:gridCol w:w="1000"/>
        <w:gridCol w:w="1000"/>
        <w:gridCol w:w="1400"/>
        <w:gridCol w:w="1000"/>
        <w:gridCol w:w="1000"/>
      </w:tblGrid>
      <w:tr>
        <w:tc>
          <w:tcPr>
            <w:tcW w:type="dxa" w:w="196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System / Data</w:t>
            </w:r>
          </w:p>
        </w:tc>
        <w:tc>
          <w:tcPr>
            <w:tcW w:type="dxa" w:w="10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L1</w:t>
            </w:r>
          </w:p>
        </w:tc>
        <w:tc>
          <w:tcPr>
            <w:tcW w:type="dxa" w:w="10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L2</w:t>
            </w:r>
          </w:p>
        </w:tc>
        <w:tc>
          <w:tcPr>
            <w:tcW w:type="dxa" w:w="10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L3</w:t>
            </w:r>
          </w:p>
        </w:tc>
        <w:tc>
          <w:tcPr>
            <w:tcW w:type="dxa" w:w="10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L4</w:t>
            </w:r>
          </w:p>
        </w:tc>
        <w:tc>
          <w:tcPr>
            <w:tcW w:type="dxa" w:w="10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L5</w:t>
            </w:r>
          </w:p>
        </w:tc>
        <w:tc>
          <w:tcPr>
            <w:tcW w:type="dxa" w:w="14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Auth Req.</w:t>
            </w:r>
          </w:p>
        </w:tc>
        <w:tc>
          <w:tcPr>
            <w:tcW w:type="dxa" w:w="10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MAC Label</w:t>
            </w:r>
          </w:p>
        </w:tc>
        <w:tc>
          <w:tcPr>
            <w:tcW w:type="dxa" w:w="10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SOX Ctrl</w:t>
            </w:r>
          </w:p>
        </w:tc>
      </w:tr>
      <w:tr>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Microsoft 365 / Email</w:t>
            </w:r>
          </w:p>
        </w:tc>
        <w:tc>
          <w:tcPr>
            <w:tcW w:type="dxa" w:w="1000"/>
            <w:tcBorders>
              <w:top w:val="single" w:color="CCCCCC" w:sz="1"/>
              <w:left w:val="single" w:color="CCCCCC" w:sz="1"/>
              <w:bottom w:val="single" w:color="CCCCCC" w:sz="1"/>
              <w:right w:val="single" w:color="CCCCCC" w:sz="1"/>
            </w:tcBorders>
            <w:shd w:fill="D6E4F0" w:val="clear"/>
            <w:tcMar>
              <w:top w:type="dxa" w:w="80"/>
              <w:left w:type="dxa" w:w="90"/>
              <w:bottom w:type="dxa" w:w="80"/>
              <w:right w:type="dxa" w:w="90"/>
            </w:tcMar>
          </w:tcPr>
          <w:p>
            <w:pPr>
              <w:jc w:val="center"/>
            </w:pPr>
            <w:r>
              <w:rPr>
                <w:rFonts w:ascii="Arial" w:cs="Arial" w:eastAsia="Arial" w:hAnsi="Arial"/>
                <w:b/>
                <w:bCs/>
                <w:color w:val="1B3A6B"/>
                <w:sz w:val="17"/>
                <w:szCs w:val="17"/>
              </w:rPr>
              <w:t xml:space="preserve">READ</w:t>
            </w:r>
          </w:p>
        </w:tc>
        <w:tc>
          <w:tcPr>
            <w:tcW w:type="dxa" w:w="1000"/>
            <w:tcBorders>
              <w:top w:val="single" w:color="CCCCCC" w:sz="1"/>
              <w:left w:val="single" w:color="CCCCCC" w:sz="1"/>
              <w:bottom w:val="single" w:color="CCCCCC" w:sz="1"/>
              <w:right w:val="single" w:color="CCCCCC" w:sz="1"/>
            </w:tcBorders>
            <w:shd w:fill="DCFCE7" w:val="clear"/>
            <w:tcMar>
              <w:top w:type="dxa" w:w="80"/>
              <w:left w:type="dxa" w:w="90"/>
              <w:bottom w:type="dxa" w:w="80"/>
              <w:right w:type="dxa" w:w="90"/>
            </w:tcMar>
          </w:tcPr>
          <w:p>
            <w:pPr>
              <w:jc w:val="center"/>
            </w:pPr>
            <w:r>
              <w:rPr>
                <w:rFonts w:ascii="Arial" w:cs="Arial" w:eastAsia="Arial" w:hAnsi="Arial"/>
                <w:b/>
                <w:bCs/>
                <w:color w:val="166534"/>
                <w:sz w:val="17"/>
                <w:szCs w:val="17"/>
              </w:rPr>
              <w:t xml:space="preserve">FULL</w:t>
            </w:r>
          </w:p>
        </w:tc>
        <w:tc>
          <w:tcPr>
            <w:tcW w:type="dxa" w:w="1000"/>
            <w:tcBorders>
              <w:top w:val="single" w:color="CCCCCC" w:sz="1"/>
              <w:left w:val="single" w:color="CCCCCC" w:sz="1"/>
              <w:bottom w:val="single" w:color="CCCCCC" w:sz="1"/>
              <w:right w:val="single" w:color="CCCCCC" w:sz="1"/>
            </w:tcBorders>
            <w:shd w:fill="DCFCE7" w:val="clear"/>
            <w:tcMar>
              <w:top w:type="dxa" w:w="80"/>
              <w:left w:type="dxa" w:w="90"/>
              <w:bottom w:type="dxa" w:w="80"/>
              <w:right w:type="dxa" w:w="90"/>
            </w:tcMar>
          </w:tcPr>
          <w:p>
            <w:pPr>
              <w:jc w:val="center"/>
            </w:pPr>
            <w:r>
              <w:rPr>
                <w:rFonts w:ascii="Arial" w:cs="Arial" w:eastAsia="Arial" w:hAnsi="Arial"/>
                <w:b/>
                <w:bCs/>
                <w:color w:val="166534"/>
                <w:sz w:val="17"/>
                <w:szCs w:val="17"/>
              </w:rPr>
              <w:t xml:space="preserve">FULL</w:t>
            </w:r>
          </w:p>
        </w:tc>
        <w:tc>
          <w:tcPr>
            <w:tcW w:type="dxa" w:w="1000"/>
            <w:tcBorders>
              <w:top w:val="single" w:color="CCCCCC" w:sz="1"/>
              <w:left w:val="single" w:color="CCCCCC" w:sz="1"/>
              <w:bottom w:val="single" w:color="CCCCCC" w:sz="1"/>
              <w:right w:val="single" w:color="CCCCCC" w:sz="1"/>
            </w:tcBorders>
            <w:shd w:fill="DCFCE7" w:val="clear"/>
            <w:tcMar>
              <w:top w:type="dxa" w:w="80"/>
              <w:left w:type="dxa" w:w="90"/>
              <w:bottom w:type="dxa" w:w="80"/>
              <w:right w:type="dxa" w:w="90"/>
            </w:tcMar>
          </w:tcPr>
          <w:p>
            <w:pPr>
              <w:jc w:val="center"/>
            </w:pPr>
            <w:r>
              <w:rPr>
                <w:rFonts w:ascii="Arial" w:cs="Arial" w:eastAsia="Arial" w:hAnsi="Arial"/>
                <w:b/>
                <w:bCs/>
                <w:color w:val="166534"/>
                <w:sz w:val="17"/>
                <w:szCs w:val="17"/>
              </w:rPr>
              <w:t xml:space="preserve">FULL</w:t>
            </w:r>
          </w:p>
        </w:tc>
        <w:tc>
          <w:tcPr>
            <w:tcW w:type="dxa" w:w="1000"/>
            <w:tcBorders>
              <w:top w:val="single" w:color="CCCCCC" w:sz="1"/>
              <w:left w:val="single" w:color="CCCCCC" w:sz="1"/>
              <w:bottom w:val="single" w:color="CCCCCC" w:sz="1"/>
              <w:right w:val="single" w:color="CCCCCC" w:sz="1"/>
            </w:tcBorders>
            <w:shd w:fill="DCFCE7" w:val="clear"/>
            <w:tcMar>
              <w:top w:type="dxa" w:w="80"/>
              <w:left w:type="dxa" w:w="90"/>
              <w:bottom w:type="dxa" w:w="80"/>
              <w:right w:type="dxa" w:w="90"/>
            </w:tcMar>
          </w:tcPr>
          <w:p>
            <w:pPr>
              <w:jc w:val="center"/>
            </w:pPr>
            <w:r>
              <w:rPr>
                <w:rFonts w:ascii="Arial" w:cs="Arial" w:eastAsia="Arial" w:hAnsi="Arial"/>
                <w:b/>
                <w:bCs/>
                <w:color w:val="166534"/>
                <w:sz w:val="17"/>
                <w:szCs w:val="17"/>
              </w:rPr>
              <w:t xml:space="preserve">FULL</w:t>
            </w:r>
          </w:p>
        </w:tc>
        <w:tc>
          <w:tcPr>
            <w:tcW w:type="dxa" w:w="1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MFA L2+</w:t>
            </w:r>
          </w:p>
        </w:tc>
        <w:tc>
          <w:tcPr>
            <w:tcW w:type="dxa" w:w="1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INTERNAL</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val="false"/>
                <w:bCs w:val="false"/>
                <w:color w:val="374151"/>
                <w:sz w:val="17"/>
                <w:szCs w:val="17"/>
              </w:rPr>
              <w:t xml:space="preserve">No</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SharePoint — Dept. sites</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D6E4F0" w:val="clear"/>
            <w:tcMar>
              <w:top w:type="dxa" w:w="80"/>
              <w:left w:type="dxa" w:w="90"/>
              <w:bottom w:type="dxa" w:w="80"/>
              <w:right w:type="dxa" w:w="90"/>
            </w:tcMar>
          </w:tcPr>
          <w:p>
            <w:pPr>
              <w:jc w:val="center"/>
            </w:pPr>
            <w:r>
              <w:rPr>
                <w:rFonts w:ascii="Arial" w:cs="Arial" w:eastAsia="Arial" w:hAnsi="Arial"/>
                <w:b/>
                <w:bCs/>
                <w:color w:val="1B3A6B"/>
                <w:sz w:val="17"/>
                <w:szCs w:val="17"/>
              </w:rPr>
              <w:t xml:space="preserve">READ</w:t>
            </w:r>
          </w:p>
        </w:tc>
        <w:tc>
          <w:tcPr>
            <w:tcW w:type="dxa" w:w="1000"/>
            <w:tcBorders>
              <w:top w:val="single" w:color="CCCCCC" w:sz="1"/>
              <w:left w:val="single" w:color="CCCCCC" w:sz="1"/>
              <w:bottom w:val="single" w:color="CCCCCC" w:sz="1"/>
              <w:right w:val="single" w:color="CCCCCC" w:sz="1"/>
            </w:tcBorders>
            <w:shd w:fill="DCFCE7" w:val="clear"/>
            <w:tcMar>
              <w:top w:type="dxa" w:w="80"/>
              <w:left w:type="dxa" w:w="90"/>
              <w:bottom w:type="dxa" w:w="80"/>
              <w:right w:type="dxa" w:w="90"/>
            </w:tcMar>
          </w:tcPr>
          <w:p>
            <w:pPr>
              <w:jc w:val="center"/>
            </w:pPr>
            <w:r>
              <w:rPr>
                <w:rFonts w:ascii="Arial" w:cs="Arial" w:eastAsia="Arial" w:hAnsi="Arial"/>
                <w:b/>
                <w:bCs/>
                <w:color w:val="166534"/>
                <w:sz w:val="17"/>
                <w:szCs w:val="17"/>
              </w:rPr>
              <w:t xml:space="preserve">FULL</w:t>
            </w:r>
          </w:p>
        </w:tc>
        <w:tc>
          <w:tcPr>
            <w:tcW w:type="dxa" w:w="1000"/>
            <w:tcBorders>
              <w:top w:val="single" w:color="CCCCCC" w:sz="1"/>
              <w:left w:val="single" w:color="CCCCCC" w:sz="1"/>
              <w:bottom w:val="single" w:color="CCCCCC" w:sz="1"/>
              <w:right w:val="single" w:color="CCCCCC" w:sz="1"/>
            </w:tcBorders>
            <w:shd w:fill="D6E4F0" w:val="clear"/>
            <w:tcMar>
              <w:top w:type="dxa" w:w="80"/>
              <w:left w:type="dxa" w:w="90"/>
              <w:bottom w:type="dxa" w:w="80"/>
              <w:right w:type="dxa" w:w="90"/>
            </w:tcMar>
          </w:tcPr>
          <w:p>
            <w:pPr>
              <w:jc w:val="center"/>
            </w:pPr>
            <w:r>
              <w:rPr>
                <w:rFonts w:ascii="Arial" w:cs="Arial" w:eastAsia="Arial" w:hAnsi="Arial"/>
                <w:b/>
                <w:bCs/>
                <w:color w:val="1B3A6B"/>
                <w:sz w:val="17"/>
                <w:szCs w:val="17"/>
              </w:rPr>
              <w:t xml:space="preserve">READ</w:t>
            </w:r>
          </w:p>
        </w:tc>
        <w:tc>
          <w:tcPr>
            <w:tcW w:type="dxa" w:w="1000"/>
            <w:tcBorders>
              <w:top w:val="single" w:color="CCCCCC" w:sz="1"/>
              <w:left w:val="single" w:color="CCCCCC" w:sz="1"/>
              <w:bottom w:val="single" w:color="CCCCCC" w:sz="1"/>
              <w:right w:val="single" w:color="CCCCCC" w:sz="1"/>
            </w:tcBorders>
            <w:shd w:fill="DCFCE7" w:val="clear"/>
            <w:tcMar>
              <w:top w:type="dxa" w:w="80"/>
              <w:left w:type="dxa" w:w="90"/>
              <w:bottom w:type="dxa" w:w="80"/>
              <w:right w:type="dxa" w:w="90"/>
            </w:tcMar>
          </w:tcPr>
          <w:p>
            <w:pPr>
              <w:jc w:val="center"/>
            </w:pPr>
            <w:r>
              <w:rPr>
                <w:rFonts w:ascii="Arial" w:cs="Arial" w:eastAsia="Arial" w:hAnsi="Arial"/>
                <w:b/>
                <w:bCs/>
                <w:color w:val="166534"/>
                <w:sz w:val="17"/>
                <w:szCs w:val="17"/>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MFA L2+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INTERNAL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val="false"/>
                <w:bCs w:val="false"/>
                <w:color w:val="374151"/>
                <w:sz w:val="17"/>
                <w:szCs w:val="17"/>
              </w:rPr>
              <w:t xml:space="preserve">No</w:t>
            </w:r>
          </w:p>
        </w:tc>
      </w:tr>
      <w:tr>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VLAN 10 Creative/Talent</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DCFCE7" w:val="clear"/>
            <w:tcMar>
              <w:top w:type="dxa" w:w="80"/>
              <w:left w:type="dxa" w:w="90"/>
              <w:bottom w:type="dxa" w:w="80"/>
              <w:right w:type="dxa" w:w="90"/>
            </w:tcMar>
          </w:tcPr>
          <w:p>
            <w:pPr>
              <w:jc w:val="center"/>
            </w:pPr>
            <w:r>
              <w:rPr>
                <w:rFonts w:ascii="Arial" w:cs="Arial" w:eastAsia="Arial" w:hAnsi="Arial"/>
                <w:b/>
                <w:bCs/>
                <w:color w:val="166534"/>
                <w:sz w:val="17"/>
                <w:szCs w:val="17"/>
              </w:rPr>
              <w:t xml:space="preserve">FULL</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D6E4F0" w:val="clear"/>
            <w:tcMar>
              <w:top w:type="dxa" w:w="80"/>
              <w:left w:type="dxa" w:w="90"/>
              <w:bottom w:type="dxa" w:w="80"/>
              <w:right w:type="dxa" w:w="90"/>
            </w:tcMar>
          </w:tcPr>
          <w:p>
            <w:pPr>
              <w:jc w:val="center"/>
            </w:pPr>
            <w:r>
              <w:rPr>
                <w:rFonts w:ascii="Arial" w:cs="Arial" w:eastAsia="Arial" w:hAnsi="Arial"/>
                <w:b/>
                <w:bCs/>
                <w:color w:val="1B3A6B"/>
                <w:sz w:val="17"/>
                <w:szCs w:val="17"/>
              </w:rPr>
              <w:t xml:space="preserve">READ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MFA+FIDO2</w:t>
            </w:r>
          </w:p>
        </w:tc>
        <w:tc>
          <w:tcPr>
            <w:tcW w:type="dxa" w:w="1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CONFIDENTIAL</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val="false"/>
                <w:bCs w:val="false"/>
                <w:color w:val="374151"/>
                <w:sz w:val="17"/>
                <w:szCs w:val="17"/>
              </w:rPr>
              <w:t xml:space="preserve">No</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Storyline-Secret Docs</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FEF3C7" w:val="clear"/>
            <w:tcMar>
              <w:top w:type="dxa" w:w="80"/>
              <w:left w:type="dxa" w:w="90"/>
              <w:bottom w:type="dxa" w:w="80"/>
              <w:right w:type="dxa" w:w="90"/>
            </w:tcMar>
          </w:tcPr>
          <w:p>
            <w:pPr>
              <w:jc w:val="center"/>
            </w:pPr>
            <w:r>
              <w:rPr>
                <w:rFonts w:ascii="Arial" w:cs="Arial" w:eastAsia="Arial" w:hAnsi="Arial"/>
                <w:b/>
                <w:bCs/>
                <w:color w:val="78350F"/>
                <w:sz w:val="17"/>
                <w:szCs w:val="17"/>
              </w:rPr>
              <w:t xml:space="preserve">LIMITED</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DCFCE7" w:val="clear"/>
            <w:tcMar>
              <w:top w:type="dxa" w:w="80"/>
              <w:left w:type="dxa" w:w="90"/>
              <w:bottom w:type="dxa" w:w="80"/>
              <w:right w:type="dxa" w:w="90"/>
            </w:tcMar>
          </w:tcPr>
          <w:p>
            <w:pPr>
              <w:jc w:val="center"/>
            </w:pPr>
            <w:r>
              <w:rPr>
                <w:rFonts w:ascii="Arial" w:cs="Arial" w:eastAsia="Arial" w:hAnsi="Arial"/>
                <w:b/>
                <w:bCs/>
                <w:color w:val="166534"/>
                <w:sz w:val="17"/>
                <w:szCs w:val="17"/>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FIDO2+CA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STORYLINE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val="false"/>
                <w:bCs w:val="false"/>
                <w:color w:val="374151"/>
                <w:sz w:val="17"/>
                <w:szCs w:val="17"/>
              </w:rPr>
              <w:t xml:space="preserve">No</w:t>
            </w:r>
          </w:p>
        </w:tc>
      </w:tr>
      <w:tr>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VLAN 30 Finance / SAP</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FEF3C7" w:val="clear"/>
            <w:tcMar>
              <w:top w:type="dxa" w:w="80"/>
              <w:left w:type="dxa" w:w="90"/>
              <w:bottom w:type="dxa" w:w="80"/>
              <w:right w:type="dxa" w:w="90"/>
            </w:tcMar>
          </w:tcPr>
          <w:p>
            <w:pPr>
              <w:jc w:val="center"/>
            </w:pPr>
            <w:r>
              <w:rPr>
                <w:rFonts w:ascii="Arial" w:cs="Arial" w:eastAsia="Arial" w:hAnsi="Arial"/>
                <w:b/>
                <w:bCs/>
                <w:color w:val="78350F"/>
                <w:sz w:val="17"/>
                <w:szCs w:val="17"/>
              </w:rPr>
              <w:t xml:space="preserve">LIMITED</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D6E4F0" w:val="clear"/>
            <w:tcMar>
              <w:top w:type="dxa" w:w="80"/>
              <w:left w:type="dxa" w:w="90"/>
              <w:bottom w:type="dxa" w:w="80"/>
              <w:right w:type="dxa" w:w="90"/>
            </w:tcMar>
          </w:tcPr>
          <w:p>
            <w:pPr>
              <w:jc w:val="center"/>
            </w:pPr>
            <w:r>
              <w:rPr>
                <w:rFonts w:ascii="Arial" w:cs="Arial" w:eastAsia="Arial" w:hAnsi="Arial"/>
                <w:b/>
                <w:bCs/>
                <w:color w:val="1B3A6B"/>
                <w:sz w:val="17"/>
                <w:szCs w:val="17"/>
              </w:rPr>
              <w:t xml:space="preserve">READ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MFA+FIDO2</w:t>
            </w:r>
          </w:p>
        </w:tc>
        <w:tc>
          <w:tcPr>
            <w:tcW w:type="dxa" w:w="1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CONFIDENTIAL</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9B1C1C"/>
                <w:sz w:val="17"/>
                <w:szCs w:val="17"/>
              </w:rPr>
              <w:t xml:space="preserve">Yes</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VLAN 20 Production Assets</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D6E4F0" w:val="clear"/>
            <w:tcMar>
              <w:top w:type="dxa" w:w="80"/>
              <w:left w:type="dxa" w:w="90"/>
              <w:bottom w:type="dxa" w:w="80"/>
              <w:right w:type="dxa" w:w="90"/>
            </w:tcMar>
          </w:tcPr>
          <w:p>
            <w:pPr>
              <w:jc w:val="center"/>
            </w:pPr>
            <w:r>
              <w:rPr>
                <w:rFonts w:ascii="Arial" w:cs="Arial" w:eastAsia="Arial" w:hAnsi="Arial"/>
                <w:b/>
                <w:bCs/>
                <w:color w:val="1B3A6B"/>
                <w:sz w:val="17"/>
                <w:szCs w:val="17"/>
              </w:rPr>
              <w:t xml:space="preserve">READ</w:t>
            </w:r>
          </w:p>
        </w:tc>
        <w:tc>
          <w:tcPr>
            <w:tcW w:type="dxa" w:w="1000"/>
            <w:tcBorders>
              <w:top w:val="single" w:color="CCCCCC" w:sz="1"/>
              <w:left w:val="single" w:color="CCCCCC" w:sz="1"/>
              <w:bottom w:val="single" w:color="CCCCCC" w:sz="1"/>
              <w:right w:val="single" w:color="CCCCCC" w:sz="1"/>
            </w:tcBorders>
            <w:shd w:fill="DCFCE7" w:val="clear"/>
            <w:tcMar>
              <w:top w:type="dxa" w:w="80"/>
              <w:left w:type="dxa" w:w="90"/>
              <w:bottom w:type="dxa" w:w="80"/>
              <w:right w:type="dxa" w:w="90"/>
            </w:tcMar>
          </w:tcPr>
          <w:p>
            <w:pPr>
              <w:jc w:val="center"/>
            </w:pPr>
            <w:r>
              <w:rPr>
                <w:rFonts w:ascii="Arial" w:cs="Arial" w:eastAsia="Arial" w:hAnsi="Arial"/>
                <w:b/>
                <w:bCs/>
                <w:color w:val="166534"/>
                <w:sz w:val="17"/>
                <w:szCs w:val="17"/>
              </w:rPr>
              <w:t xml:space="preserve">FULL</w:t>
            </w:r>
          </w:p>
        </w:tc>
        <w:tc>
          <w:tcPr>
            <w:tcW w:type="dxa" w:w="1000"/>
            <w:tcBorders>
              <w:top w:val="single" w:color="CCCCCC" w:sz="1"/>
              <w:left w:val="single" w:color="CCCCCC" w:sz="1"/>
              <w:bottom w:val="single" w:color="CCCCCC" w:sz="1"/>
              <w:right w:val="single" w:color="CCCCCC" w:sz="1"/>
            </w:tcBorders>
            <w:shd w:fill="D6E4F0" w:val="clear"/>
            <w:tcMar>
              <w:top w:type="dxa" w:w="80"/>
              <w:left w:type="dxa" w:w="90"/>
              <w:bottom w:type="dxa" w:w="80"/>
              <w:right w:type="dxa" w:w="90"/>
            </w:tcMar>
          </w:tcPr>
          <w:p>
            <w:pPr>
              <w:jc w:val="center"/>
            </w:pPr>
            <w:r>
              <w:rPr>
                <w:rFonts w:ascii="Arial" w:cs="Arial" w:eastAsia="Arial" w:hAnsi="Arial"/>
                <w:b/>
                <w:bCs/>
                <w:color w:val="1B3A6B"/>
                <w:sz w:val="17"/>
                <w:szCs w:val="17"/>
              </w:rPr>
              <w:t xml:space="preserve">READ</w:t>
            </w:r>
          </w:p>
        </w:tc>
        <w:tc>
          <w:tcPr>
            <w:tcW w:type="dxa" w:w="1000"/>
            <w:tcBorders>
              <w:top w:val="single" w:color="CCCCCC" w:sz="1"/>
              <w:left w:val="single" w:color="CCCCCC" w:sz="1"/>
              <w:bottom w:val="single" w:color="CCCCCC" w:sz="1"/>
              <w:right w:val="single" w:color="CCCCCC" w:sz="1"/>
            </w:tcBorders>
            <w:shd w:fill="D6E4F0" w:val="clear"/>
            <w:tcMar>
              <w:top w:type="dxa" w:w="80"/>
              <w:left w:type="dxa" w:w="90"/>
              <w:bottom w:type="dxa" w:w="80"/>
              <w:right w:type="dxa" w:w="90"/>
            </w:tcMar>
          </w:tcPr>
          <w:p>
            <w:pPr>
              <w:jc w:val="center"/>
            </w:pPr>
            <w:r>
              <w:rPr>
                <w:rFonts w:ascii="Arial" w:cs="Arial" w:eastAsia="Arial" w:hAnsi="Arial"/>
                <w:b/>
                <w:bCs/>
                <w:color w:val="1B3A6B"/>
                <w:sz w:val="17"/>
                <w:szCs w:val="17"/>
              </w:rPr>
              <w:t xml:space="preserve">READ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MFA L2+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INTERNAL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val="false"/>
                <w:bCs w:val="false"/>
                <w:color w:val="374151"/>
                <w:sz w:val="17"/>
                <w:szCs w:val="17"/>
              </w:rPr>
              <w:t xml:space="preserve">No</w:t>
            </w:r>
          </w:p>
        </w:tc>
      </w:tr>
      <w:tr>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Network Infrastructure Admin</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DCFCE7" w:val="clear"/>
            <w:tcMar>
              <w:top w:type="dxa" w:w="80"/>
              <w:left w:type="dxa" w:w="90"/>
              <w:bottom w:type="dxa" w:w="80"/>
              <w:right w:type="dxa" w:w="90"/>
            </w:tcMar>
          </w:tcPr>
          <w:p>
            <w:pPr>
              <w:jc w:val="center"/>
            </w:pPr>
            <w:r>
              <w:rPr>
                <w:rFonts w:ascii="Arial" w:cs="Arial" w:eastAsia="Arial" w:hAnsi="Arial"/>
                <w:b/>
                <w:bCs/>
                <w:color w:val="166534"/>
                <w:sz w:val="17"/>
                <w:szCs w:val="17"/>
              </w:rPr>
              <w:t xml:space="preserve">FULL</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CyberArk</w:t>
            </w:r>
          </w:p>
        </w:tc>
        <w:tc>
          <w:tcPr>
            <w:tcW w:type="dxa" w:w="1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INTERNAL</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val="false"/>
                <w:bCs w:val="false"/>
                <w:color w:val="374151"/>
                <w:sz w:val="17"/>
                <w:szCs w:val="17"/>
              </w:rPr>
              <w:t xml:space="preserve">No</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SIEM / Security Tools</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D6E4F0" w:val="clear"/>
            <w:tcMar>
              <w:top w:type="dxa" w:w="80"/>
              <w:left w:type="dxa" w:w="90"/>
              <w:bottom w:type="dxa" w:w="80"/>
              <w:right w:type="dxa" w:w="90"/>
            </w:tcMar>
          </w:tcPr>
          <w:p>
            <w:pPr>
              <w:jc w:val="center"/>
            </w:pPr>
            <w:r>
              <w:rPr>
                <w:rFonts w:ascii="Arial" w:cs="Arial" w:eastAsia="Arial" w:hAnsi="Arial"/>
                <w:b/>
                <w:bCs/>
                <w:color w:val="1B3A6B"/>
                <w:sz w:val="17"/>
                <w:szCs w:val="17"/>
              </w:rPr>
              <w:t xml:space="preserve">READ</w:t>
            </w:r>
          </w:p>
        </w:tc>
        <w:tc>
          <w:tcPr>
            <w:tcW w:type="dxa" w:w="1000"/>
            <w:tcBorders>
              <w:top w:val="single" w:color="CCCCCC" w:sz="1"/>
              <w:left w:val="single" w:color="CCCCCC" w:sz="1"/>
              <w:bottom w:val="single" w:color="CCCCCC" w:sz="1"/>
              <w:right w:val="single" w:color="CCCCCC" w:sz="1"/>
            </w:tcBorders>
            <w:shd w:fill="DCFCE7" w:val="clear"/>
            <w:tcMar>
              <w:top w:type="dxa" w:w="80"/>
              <w:left w:type="dxa" w:w="90"/>
              <w:bottom w:type="dxa" w:w="80"/>
              <w:right w:type="dxa" w:w="90"/>
            </w:tcMar>
          </w:tcPr>
          <w:p>
            <w:pPr>
              <w:jc w:val="center"/>
            </w:pPr>
            <w:r>
              <w:rPr>
                <w:rFonts w:ascii="Arial" w:cs="Arial" w:eastAsia="Arial" w:hAnsi="Arial"/>
                <w:b/>
                <w:bCs/>
                <w:color w:val="166534"/>
                <w:sz w:val="17"/>
                <w:szCs w:val="17"/>
              </w:rPr>
              <w:t xml:space="preserve">FULL</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CyberArk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INTERNAL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val="false"/>
                <w:bCs w:val="false"/>
                <w:color w:val="374151"/>
                <w:sz w:val="17"/>
                <w:szCs w:val="17"/>
              </w:rPr>
              <w:t xml:space="preserve">No</w:t>
            </w:r>
          </w:p>
        </w:tc>
      </w:tr>
      <w:tr>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Payroll / ADP</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EDE9FE" w:val="clear"/>
            <w:tcMar>
              <w:top w:type="dxa" w:w="80"/>
              <w:left w:type="dxa" w:w="90"/>
              <w:bottom w:type="dxa" w:w="80"/>
              <w:right w:type="dxa" w:w="90"/>
            </w:tcMar>
          </w:tcPr>
          <w:p>
            <w:pPr>
              <w:jc w:val="center"/>
            </w:pPr>
            <w:r>
              <w:rPr>
                <w:rFonts w:ascii="Arial" w:cs="Arial" w:eastAsia="Arial" w:hAnsi="Arial"/>
                <w:b/>
                <w:bCs/>
                <w:color w:val="4C1D95"/>
                <w:sz w:val="17"/>
                <w:szCs w:val="17"/>
              </w:rPr>
              <w:t xml:space="preserve">OWN</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D6E4F0" w:val="clear"/>
            <w:tcMar>
              <w:top w:type="dxa" w:w="80"/>
              <w:left w:type="dxa" w:w="90"/>
              <w:bottom w:type="dxa" w:w="80"/>
              <w:right w:type="dxa" w:w="90"/>
            </w:tcMar>
          </w:tcPr>
          <w:p>
            <w:pPr>
              <w:jc w:val="center"/>
            </w:pPr>
            <w:r>
              <w:rPr>
                <w:rFonts w:ascii="Arial" w:cs="Arial" w:eastAsia="Arial" w:hAnsi="Arial"/>
                <w:b/>
                <w:bCs/>
                <w:color w:val="1B3A6B"/>
                <w:sz w:val="17"/>
                <w:szCs w:val="17"/>
              </w:rPr>
              <w:t xml:space="preserve">READ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MFA+FIDO2</w:t>
            </w:r>
          </w:p>
        </w:tc>
        <w:tc>
          <w:tcPr>
            <w:tcW w:type="dxa" w:w="1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CONFIDENTIAL</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9B1C1C"/>
                <w:sz w:val="17"/>
                <w:szCs w:val="17"/>
              </w:rPr>
              <w:t xml:space="preserve">Yes</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Board / TKO Reporting</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00"/>
            <w:tcBorders>
              <w:top w:val="single" w:color="CCCCCC" w:sz="1"/>
              <w:left w:val="single" w:color="CCCCCC" w:sz="1"/>
              <w:bottom w:val="single" w:color="CCCCCC" w:sz="1"/>
              <w:right w:val="single" w:color="CCCCCC" w:sz="1"/>
            </w:tcBorders>
            <w:shd w:fill="DCFCE7" w:val="clear"/>
            <w:tcMar>
              <w:top w:type="dxa" w:w="80"/>
              <w:left w:type="dxa" w:w="90"/>
              <w:bottom w:type="dxa" w:w="80"/>
              <w:right w:type="dxa" w:w="90"/>
            </w:tcMar>
          </w:tcPr>
          <w:p>
            <w:pPr>
              <w:jc w:val="center"/>
            </w:pPr>
            <w:r>
              <w:rPr>
                <w:rFonts w:ascii="Arial" w:cs="Arial" w:eastAsia="Arial" w:hAnsi="Arial"/>
                <w:b/>
                <w:bCs/>
                <w:color w:val="166534"/>
                <w:sz w:val="17"/>
                <w:szCs w:val="17"/>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FIDO2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CONFIDENTIAL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9B1C1C"/>
                <w:sz w:val="17"/>
                <w:szCs w:val="17"/>
              </w:rPr>
              <w:t xml:space="preserve">Yes</w:t>
            </w:r>
          </w:p>
        </w:tc>
      </w:tr>
    </w:tbl>
    <w:p>
      <w:pPr>
        <w:spacing w:after="140"/>
      </w:pPr>
    </w:p>
    <w:p>
      <w:pPr>
        <w:pStyle w:val="Heading3"/>
        <w:spacing w:after="80" w:before="220"/>
      </w:pPr>
      <w:r>
        <w:rPr>
          <w:rFonts w:ascii="Arial" w:cs="Arial" w:eastAsia="Arial" w:hAnsi="Arial"/>
          <w:b/>
          <w:bCs/>
          <w:color w:val="1F2937"/>
          <w:sz w:val="21"/>
          <w:szCs w:val="21"/>
        </w:rPr>
        <w:t xml:space="preserve">Permission Legend</w:t>
      </w:r>
    </w:p>
    <w:p>
      <w:pPr>
        <w:spacing w:after="14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1080"/>
        <w:gridCol w:w="1080"/>
        <w:gridCol w:w="1080"/>
        <w:gridCol w:w="1080"/>
      </w:tblGrid>
      <w:tr>
        <w:tc>
          <w:tcPr>
            <w:tcW w:type="dxa" w:w="1080"/>
            <w:tcBorders>
              <w:top w:val="single" w:color="CCCCCC" w:sz="1"/>
              <w:left w:val="single" w:color="CCCCCC" w:sz="1"/>
              <w:bottom w:val="single" w:color="CCCCCC" w:sz="1"/>
              <w:right w:val="single" w:color="CCCCCC" w:sz="1"/>
            </w:tcBorders>
            <w:shd w:fill="DCFCE7" w:val="clear"/>
            <w:tcMar>
              <w:top w:type="dxa" w:w="80"/>
              <w:left w:type="dxa" w:w="90"/>
              <w:bottom w:type="dxa" w:w="80"/>
              <w:right w:type="dxa" w:w="90"/>
            </w:tcMar>
          </w:tcPr>
          <w:p>
            <w:pPr>
              <w:jc w:val="center"/>
            </w:pPr>
            <w:r>
              <w:rPr>
                <w:rFonts w:ascii="Arial" w:cs="Arial" w:eastAsia="Arial" w:hAnsi="Arial"/>
                <w:b/>
                <w:bCs/>
                <w:color w:val="166534"/>
                <w:sz w:val="17"/>
                <w:szCs w:val="17"/>
              </w:rPr>
              <w:t xml:space="preserve">FULL</w:t>
            </w:r>
          </w:p>
        </w:tc>
        <w:tc>
          <w:tcPr>
            <w:tcW w:type="dxa" w:w="1080"/>
            <w:tcBorders>
              <w:top w:val="single" w:color="CCCCCC" w:sz="1"/>
              <w:left w:val="single" w:color="CCCCCC" w:sz="1"/>
              <w:bottom w:val="single" w:color="CCCCCC" w:sz="1"/>
              <w:right w:val="single" w:color="CCCCCC" w:sz="1"/>
            </w:tcBorders>
            <w:shd w:fill="D6E4F0" w:val="clear"/>
            <w:tcMar>
              <w:top w:type="dxa" w:w="80"/>
              <w:left w:type="dxa" w:w="90"/>
              <w:bottom w:type="dxa" w:w="80"/>
              <w:right w:type="dxa" w:w="90"/>
            </w:tcMar>
          </w:tcPr>
          <w:p>
            <w:pPr>
              <w:jc w:val="center"/>
            </w:pPr>
            <w:r>
              <w:rPr>
                <w:rFonts w:ascii="Arial" w:cs="Arial" w:eastAsia="Arial" w:hAnsi="Arial"/>
                <w:b/>
                <w:bCs/>
                <w:color w:val="1B3A6B"/>
                <w:sz w:val="17"/>
                <w:szCs w:val="17"/>
              </w:rPr>
              <w:t xml:space="preserve">READ</w:t>
            </w:r>
          </w:p>
        </w:tc>
        <w:tc>
          <w:tcPr>
            <w:tcW w:type="dxa" w:w="1080"/>
            <w:tcBorders>
              <w:top w:val="single" w:color="CCCCCC" w:sz="1"/>
              <w:left w:val="single" w:color="CCCCCC" w:sz="1"/>
              <w:bottom w:val="single" w:color="CCCCCC" w:sz="1"/>
              <w:right w:val="single" w:color="CCCCCC" w:sz="1"/>
            </w:tcBorders>
            <w:shd w:fill="FEF3C7" w:val="clear"/>
            <w:tcMar>
              <w:top w:type="dxa" w:w="80"/>
              <w:left w:type="dxa" w:w="90"/>
              <w:bottom w:type="dxa" w:w="80"/>
              <w:right w:type="dxa" w:w="90"/>
            </w:tcMar>
          </w:tcPr>
          <w:p>
            <w:pPr>
              <w:jc w:val="center"/>
            </w:pPr>
            <w:r>
              <w:rPr>
                <w:rFonts w:ascii="Arial" w:cs="Arial" w:eastAsia="Arial" w:hAnsi="Arial"/>
                <w:b/>
                <w:bCs/>
                <w:color w:val="78350F"/>
                <w:sz w:val="17"/>
                <w:szCs w:val="17"/>
              </w:rPr>
              <w:t xml:space="preserve">LIMITED</w:t>
            </w:r>
          </w:p>
        </w:tc>
        <w:tc>
          <w:tcPr>
            <w:tcW w:type="dxa" w:w="1080"/>
            <w:tcBorders>
              <w:top w:val="single" w:color="CCCCCC" w:sz="1"/>
              <w:left w:val="single" w:color="CCCCCC" w:sz="1"/>
              <w:bottom w:val="single" w:color="CCCCCC" w:sz="1"/>
              <w:right w:val="single" w:color="CCCCCC" w:sz="1"/>
            </w:tcBorders>
            <w:shd w:fill="EDE9FE" w:val="clear"/>
            <w:tcMar>
              <w:top w:type="dxa" w:w="80"/>
              <w:left w:type="dxa" w:w="90"/>
              <w:bottom w:type="dxa" w:w="80"/>
              <w:right w:type="dxa" w:w="90"/>
            </w:tcMar>
          </w:tcPr>
          <w:p>
            <w:pPr>
              <w:jc w:val="center"/>
            </w:pPr>
            <w:r>
              <w:rPr>
                <w:rFonts w:ascii="Arial" w:cs="Arial" w:eastAsia="Arial" w:hAnsi="Arial"/>
                <w:b/>
                <w:bCs/>
                <w:color w:val="4C1D95"/>
                <w:sz w:val="17"/>
                <w:szCs w:val="17"/>
              </w:rPr>
              <w:t xml:space="preserve">OWN</w:t>
            </w:r>
          </w:p>
        </w:tc>
        <w:tc>
          <w:tcPr>
            <w:tcW w:type="dxa" w:w="108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374151"/>
                <w:sz w:val="17"/>
                <w:szCs w:val="17"/>
              </w:rPr>
              <w:t xml:space="preserve">NONE</w:t>
            </w:r>
          </w:p>
        </w:tc>
        <w:tc>
          <w:tcPr>
            <w:tcW w:type="dxa" w:w="1080"/>
            <w:tcBorders>
              <w:top w:val="single" w:color="CCCCCC" w:sz="1"/>
              <w:left w:val="single" w:color="CCCCCC" w:sz="1"/>
              <w:bottom w:val="single" w:color="CCCCCC" w:sz="1"/>
              <w:right w:val="single" w:color="CCCCCC" w:sz="1"/>
            </w:tcBorders>
            <w:shd w:fill="FEE2E2" w:val="clear"/>
            <w:tcMar>
              <w:top w:type="dxa" w:w="80"/>
              <w:left w:type="dxa" w:w="90"/>
              <w:bottom w:type="dxa" w:w="80"/>
              <w:right w:type="dxa" w:w="90"/>
            </w:tcMar>
          </w:tcPr>
          <w:p>
            <w:pPr>
              <w:jc w:val="center"/>
            </w:pPr>
            <w:r>
              <w:rPr>
                <w:rFonts w:ascii="Arial" w:cs="Arial" w:eastAsia="Arial" w:hAnsi="Arial"/>
                <w:b/>
                <w:bCs/>
                <w:color w:val="9B1C1C"/>
                <w:sz w:val="17"/>
                <w:szCs w:val="17"/>
              </w:rPr>
              <w:t xml:space="preserve">DENY</w:t>
            </w:r>
          </w:p>
        </w:tc>
      </w:tr>
    </w:tbl>
    <w:p>
      <w:pPr>
        <w:spacing w:after="14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1080"/>
        <w:gridCol w:w="1080"/>
        <w:gridCol w:w="1080"/>
        <w:gridCol w:w="1080"/>
      </w:tblGrid>
      <w:tr>
        <w:tc>
          <w:tcPr>
            <w:tcW w:type="dxa" w:w="1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sz w:val="18"/>
                <w:szCs w:val="18"/>
              </w:rPr>
              <w:t xml:space="preserve">Full read/write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sz w:val="18"/>
                <w:szCs w:val="18"/>
              </w:rPr>
              <w:t xml:space="preserve">Read only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sz w:val="18"/>
                <w:szCs w:val="18"/>
              </w:rPr>
              <w:t xml:space="preserve">Scoped access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sz w:val="18"/>
                <w:szCs w:val="18"/>
              </w:rPr>
              <w:t xml:space="preserve">Own records only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sz w:val="18"/>
                <w:szCs w:val="18"/>
              </w:rPr>
              <w:t xml:space="preserve">No access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sz w:val="18"/>
                <w:szCs w:val="18"/>
              </w:rPr>
              <w:t xml:space="preserve">Explicit block</w:t>
            </w:r>
          </w:p>
        </w:tc>
      </w:tr>
    </w:tbl>
    <w:p>
      <w:pPr>
        <w:spacing w:after="140"/>
      </w:pPr>
    </w:p>
    <w:p>
      <w:pPr>
        <w:pStyle w:val="Heading2"/>
        <w:spacing w:after="120" w:before="300"/>
      </w:pPr>
      <w:r>
        <w:rPr>
          <w:rFonts w:ascii="Arial" w:cs="Arial" w:eastAsia="Arial" w:hAnsi="Arial"/>
          <w:b/>
          <w:bCs/>
          <w:color w:val="9B1C1C"/>
          <w:sz w:val="24"/>
          <w:szCs w:val="24"/>
        </w:rPr>
        <w:t xml:space="preserve">5.4 Provisioning and De-provisioning Workflow</w:t>
      </w:r>
    </w:p>
    <w:p>
      <w:pPr>
        <w:spacing w:after="140"/>
      </w:pPr>
      <w:r>
        <w:rPr>
          <w:rFonts w:ascii="Arial" w:cs="Arial" w:eastAsia="Arial" w:hAnsi="Arial"/>
          <w:sz w:val="20"/>
          <w:szCs w:val="20"/>
        </w:rPr>
        <w:t xml:space="preserve">The following workflow governs all access level assignments for WWE enterprise users:</w:t>
      </w:r>
    </w:p>
    <w:p>
      <w:pPr>
        <w:spacing w:after="140"/>
      </w:pPr>
    </w:p>
    <w:p>
      <w:pPr>
        <w:pStyle w:val="ListParagraph"/>
        <w:numPr>
          <w:ilvl w:val="0"/>
          <w:numId w:val="3"/>
        </w:numPr>
        <w:spacing w:after="80"/>
      </w:pPr>
      <w:r>
        <w:rPr>
          <w:rFonts w:ascii="Arial" w:cs="Arial" w:eastAsia="Arial" w:hAnsi="Arial"/>
          <w:sz w:val="20"/>
          <w:szCs w:val="20"/>
        </w:rPr>
        <w:t xml:space="preserve">Employee/contractor need identified: Hiring manager or project lead identifies access requirement prior to or on first day.</w:t>
      </w:r>
    </w:p>
    <w:p>
      <w:pPr>
        <w:pStyle w:val="ListParagraph"/>
        <w:numPr>
          <w:ilvl w:val="0"/>
          <w:numId w:val="3"/>
        </w:numPr>
        <w:spacing w:after="80"/>
      </w:pPr>
      <w:r>
        <w:rPr>
          <w:rFonts w:ascii="Arial" w:cs="Arial" w:eastAsia="Arial" w:hAnsi="Arial"/>
          <w:sz w:val="20"/>
          <w:szCs w:val="20"/>
        </w:rPr>
        <w:t xml:space="preserve">ServiceNow Access Request submitted: Requestor selects desired access level and specific systems. For Level 3+, a business justification is required.</w:t>
      </w:r>
    </w:p>
    <w:p>
      <w:pPr>
        <w:pStyle w:val="ListParagraph"/>
        <w:numPr>
          <w:ilvl w:val="0"/>
          <w:numId w:val="3"/>
        </w:numPr>
        <w:spacing w:after="80"/>
      </w:pPr>
      <w:r>
        <w:rPr>
          <w:rFonts w:ascii="Arial" w:cs="Arial" w:eastAsia="Arial" w:hAnsi="Arial"/>
          <w:sz w:val="20"/>
          <w:szCs w:val="20"/>
        </w:rPr>
        <w:t xml:space="preserve">Manager approval: Direct manager reviews and approves within 24 hours. For Level 4-5, additional Department Head sign-off required.</w:t>
      </w:r>
    </w:p>
    <w:p>
      <w:pPr>
        <w:pStyle w:val="ListParagraph"/>
        <w:numPr>
          <w:ilvl w:val="0"/>
          <w:numId w:val="3"/>
        </w:numPr>
        <w:spacing w:after="80"/>
      </w:pPr>
      <w:r>
        <w:rPr>
          <w:rFonts w:ascii="Arial" w:cs="Arial" w:eastAsia="Arial" w:hAnsi="Arial"/>
          <w:sz w:val="20"/>
          <w:szCs w:val="20"/>
        </w:rPr>
        <w:t xml:space="preserve">InfoSec review (Level 3+): Information Security team reviews the request against the principle of least privilege — may reduce requested scope.</w:t>
      </w:r>
    </w:p>
    <w:p>
      <w:pPr>
        <w:pStyle w:val="ListParagraph"/>
        <w:numPr>
          <w:ilvl w:val="0"/>
          <w:numId w:val="3"/>
        </w:numPr>
        <w:spacing w:after="80"/>
      </w:pPr>
      <w:r>
        <w:rPr>
          <w:rFonts w:ascii="Arial" w:cs="Arial" w:eastAsia="Arial" w:hAnsi="Arial"/>
          <w:sz w:val="20"/>
          <w:szCs w:val="20"/>
        </w:rPr>
        <w:t xml:space="preserve">Provisioning: IT Ops provisions account group memberships, MAC label clearances (if applicable), and system access per approved request. User receives confirmation and access instructions.</w:t>
      </w:r>
    </w:p>
    <w:p>
      <w:pPr>
        <w:pStyle w:val="ListParagraph"/>
        <w:numPr>
          <w:ilvl w:val="0"/>
          <w:numId w:val="3"/>
        </w:numPr>
        <w:spacing w:after="80"/>
      </w:pPr>
      <w:r>
        <w:rPr>
          <w:rFonts w:ascii="Arial" w:cs="Arial" w:eastAsia="Arial" w:hAnsi="Arial"/>
          <w:sz w:val="20"/>
          <w:szCs w:val="20"/>
        </w:rPr>
        <w:t xml:space="preserve">Onboarding verification: IT Ops confirms user can access only what was approved — no over-provisioning. Test performed within first working session.</w:t>
      </w:r>
    </w:p>
    <w:p>
      <w:pPr>
        <w:pStyle w:val="ListParagraph"/>
        <w:numPr>
          <w:ilvl w:val="0"/>
          <w:numId w:val="3"/>
        </w:numPr>
        <w:spacing w:after="80"/>
      </w:pPr>
      <w:r>
        <w:rPr>
          <w:rFonts w:ascii="Arial" w:cs="Arial" w:eastAsia="Arial" w:hAnsi="Arial"/>
          <w:sz w:val="20"/>
          <w:szCs w:val="20"/>
        </w:rPr>
        <w:t xml:space="preserve">Quarterly recertification: Manager receives automated recertification request from ServiceNow. Uncertified accounts are auto-disabled after 14 days.</w:t>
      </w:r>
    </w:p>
    <w:p>
      <w:pPr>
        <w:pStyle w:val="ListParagraph"/>
        <w:numPr>
          <w:ilvl w:val="0"/>
          <w:numId w:val="3"/>
        </w:numPr>
        <w:spacing w:after="80"/>
      </w:pPr>
      <w:r>
        <w:rPr>
          <w:rFonts w:ascii="Arial" w:cs="Arial" w:eastAsia="Arial" w:hAnsi="Arial"/>
          <w:sz w:val="20"/>
          <w:szCs w:val="20"/>
        </w:rPr>
        <w:t xml:space="preserve">De-provisioning on departure: HR notifies IT Ops on employee departure. All accounts disabled within 1 hour; access fully removed within 24 hours. Level 5 accounts disabled within 1 hour with CISO direct oversight.</w:t>
      </w:r>
    </w:p>
    <w:p>
      <w:pPr>
        <w:spacing w:after="140"/>
      </w:pPr>
    </w:p>
    <w:p>
      <w:r>
        <w:br w:type="page"/>
      </w:r>
    </w:p>
    <w:p>
      <w:pPr>
        <w:pStyle w:val="Heading1"/>
        <w:pBdr>
          <w:bottom w:val="single" w:color="B8860B" w:sz="8" w:space="4"/>
        </w:pBdr>
        <w:spacing w:after="160" w:before="420"/>
      </w:pPr>
      <w:r>
        <w:rPr>
          <w:rFonts w:ascii="Arial" w:cs="Arial" w:eastAsia="Arial" w:hAnsi="Arial"/>
          <w:b/>
          <w:bCs/>
          <w:color w:val="0A0A0A"/>
          <w:sz w:val="30"/>
          <w:szCs w:val="30"/>
        </w:rPr>
        <w:t xml:space="preserve">6. Compliance and Framework Alignment</w:t>
      </w:r>
    </w:p>
    <w:p>
      <w:pPr>
        <w:spacing w:after="140"/>
      </w:pPr>
      <w:r>
        <w:rPr>
          <w:rFonts w:ascii="Arial" w:cs="Arial" w:eastAsia="Arial" w:hAnsi="Arial"/>
          <w:sz w:val="20"/>
          <w:szCs w:val="20"/>
        </w:rPr>
        <w:t xml:space="preserve">The access control measures implemented across this report satisfy WWE's regulatory and internal governance obligations across four compliance domains. The following table provides a consolidated mapping.</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Regulation / Framework</w:t>
            </w:r>
          </w:p>
        </w:tc>
        <w:tc>
          <w:tcPr>
            <w:tcW w:type="dxa" w:w="22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Control / Requirement</w:t>
            </w:r>
          </w:p>
        </w:tc>
        <w:tc>
          <w:tcPr>
            <w:tcW w:type="dxa" w:w="220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WWE Control Satisfying</w:t>
            </w:r>
          </w:p>
        </w:tc>
        <w:tc>
          <w:tcPr>
            <w:tcW w:type="dxa" w:w="2960"/>
            <w:tcBorders>
              <w:top w:val="single" w:color="0A0A0A" w:sz="1"/>
              <w:left w:val="single" w:color="0A0A0A" w:sz="1"/>
              <w:bottom w:val="single" w:color="0A0A0A" w:sz="1"/>
              <w:right w:val="single" w:color="0A0A0A" w:sz="1"/>
            </w:tcBorders>
            <w:shd w:fill="0A0A0A" w:val="clear"/>
            <w:tcMar>
              <w:top w:type="dxa" w:w="90"/>
              <w:left w:type="dxa" w:w="130"/>
              <w:bottom w:type="dxa" w:w="90"/>
              <w:right w:type="dxa" w:w="130"/>
            </w:tcMar>
          </w:tcPr>
          <w:p>
            <w:r>
              <w:rPr>
                <w:rFonts w:ascii="Arial" w:cs="Arial" w:eastAsia="Arial" w:hAnsi="Arial"/>
                <w:b/>
                <w:bCs/>
                <w:color w:val="FFFFFF"/>
                <w:sz w:val="18"/>
                <w:szCs w:val="18"/>
              </w:rPr>
              <w:t xml:space="preserve">Evidence</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SOX Section 404</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IT General Controls — restrict access to financial systems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ACL (Section 3) + Level 3/5 Finance access</w:t>
            </w:r>
          </w:p>
        </w:tc>
        <w:tc>
          <w:tcPr>
            <w:tcW w:type="dxa" w:w="2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ACL PERMIT-DENY-WWE-FINANCE; ServiceNow provisioning records; quarterly recertification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SOX Section 404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Separation of duties — no single user can initiate and approve transactions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RBAC role segregation; Finance vs. IT roles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AD group segregation; dual-approval for Level 4 firewall changes</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PCI DSS Req. 7</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Restrict access to system components to only those individuals whose job requires such access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RBAC + ACL VLAN 50 Fan/Commerce controls</w:t>
            </w:r>
          </w:p>
        </w:tc>
        <w:tc>
          <w:tcPr>
            <w:tcW w:type="dxa" w:w="2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RBAC role scoping; VLAN 50 ACL limits non-eCommerce staff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PCI DSS Req.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Identify users and authenticate access to system components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MFA requirements per level (L2+ mandatory)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Entra ID conditional access policies; FIDO2 for L4/L5</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NIST SP 800-53 AC-2</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Account management — establish, activate, review, disable accounts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ServiceNow provisioning workflow (Section 5.4)</w:t>
            </w:r>
          </w:p>
        </w:tc>
        <w:tc>
          <w:tcPr>
            <w:tcW w:type="dxa" w:w="2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Automated quarterly recertification; 24-hour de-provisioning SLA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NIST SP 800-53 AC-3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Access enforcement — enforce approved authorizations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RBAC groups + ACL network enforcement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AD security groups; Cisco ACL inbound on VLAN 30 SVI</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NIST SP 800-53 AC-6</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Least privilege — allow only authorized access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MAC overlay + RBAC minimum-scope provisioning</w:t>
            </w:r>
          </w:p>
        </w:tc>
        <w:tc>
          <w:tcPr>
            <w:tcW w:type="dxa" w:w="2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InfoSec review for Level 3+; MAC label grants by VP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GDPR / CCPA Art. 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Data protection by design — limit access to personal data by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50 scoping; RBAC Marketing role limits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Fan/consumer PII accessible only to eCommerce + Marketing roles</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NIST SP 800-53 AU-2</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Audit events — log access and security-relevant events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All ACL denies logged; MAC access audited in Purview</w:t>
            </w:r>
          </w:p>
        </w:tc>
        <w:tc>
          <w:tcPr>
            <w:tcW w:type="dxa" w:w="2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Cisco ACL log keyword; Purview audit log 12-month retention</w:t>
            </w:r>
          </w:p>
        </w:tc>
      </w:tr>
    </w:tbl>
    <w:p>
      <w:pPr>
        <w:spacing w:after="140"/>
      </w:pPr>
    </w:p>
    <w:p>
      <w:r>
        <w:br w:type="page"/>
      </w:r>
    </w:p>
    <w:p>
      <w:pPr>
        <w:pStyle w:val="Heading1"/>
        <w:pBdr>
          <w:bottom w:val="single" w:color="B8860B" w:sz="8" w:space="4"/>
        </w:pBdr>
        <w:spacing w:after="160" w:before="420"/>
      </w:pPr>
      <w:r>
        <w:rPr>
          <w:rFonts w:ascii="Arial" w:cs="Arial" w:eastAsia="Arial" w:hAnsi="Arial"/>
          <w:b/>
          <w:bCs/>
          <w:color w:val="0A0A0A"/>
          <w:sz w:val="30"/>
          <w:szCs w:val="30"/>
        </w:rPr>
        <w:t xml:space="preserve">7. Conclusion</w:t>
      </w:r>
    </w:p>
    <w:p>
      <w:pPr>
        <w:spacing w:after="140"/>
      </w:pPr>
      <w:r>
        <w:rPr>
          <w:rFonts w:ascii="Arial" w:cs="Arial" w:eastAsia="Arial" w:hAnsi="Arial"/>
          <w:sz w:val="20"/>
          <w:szCs w:val="20"/>
        </w:rPr>
        <w:t xml:space="preserve">This report has documented a complete, production-grade access control implementation for WWE within the Trinity Project framework. Three interconnected controls — an ACL, an access control model, and a user access level hierarchy — have been designed to address WWE's unique combination of entertainment IP sensitivity, financial compliance obligations, and large-scale enterprise workforce management requirements.</w:t>
      </w:r>
    </w:p>
    <w:p>
      <w:pPr>
        <w:spacing w:after="140"/>
      </w:pPr>
    </w:p>
    <w:p>
      <w:pPr>
        <w:spacing w:after="140"/>
      </w:pPr>
      <w:r>
        <w:rPr>
          <w:rFonts w:ascii="Arial" w:cs="Arial" w:eastAsia="Arial" w:hAnsi="Arial"/>
          <w:sz w:val="20"/>
          <w:szCs w:val="20"/>
        </w:rPr>
        <w:t xml:space="preserve">The Cisco IOS Extended Named ACL (PERMIT-DENY-WWE-FINANCE) establishes a network-layer enforcement boundary around the most financially sensitive systems in the WWE enterprise. By explicitly permitting only the minimum set of authorized source addresses and services, and by logging all denied traffic, the ACL satisfies both the SOX separation-of-duties requirement and the NIST deny-by-default principle — while generating an audit trail that supports financial controls reporting.</w:t>
      </w:r>
    </w:p>
    <w:p>
      <w:pPr>
        <w:spacing w:after="140"/>
      </w:pPr>
    </w:p>
    <w:p>
      <w:pPr>
        <w:spacing w:after="140"/>
      </w:pPr>
      <w:r>
        <w:rPr>
          <w:rFonts w:ascii="Arial" w:cs="Arial" w:eastAsia="Arial" w:hAnsi="Arial"/>
          <w:sz w:val="20"/>
          <w:szCs w:val="20"/>
        </w:rPr>
        <w:t xml:space="preserve">The hybrid RBAC/MAC access control model addresses two distinct but complementary access requirements. RBAC provides the scalable, maintainable foundation for managing access across 2,000+ enterprise staff — aligning permissions to job functions rather than individuals. The MAC overlay on the Creative/Talent data tier provides a level of confidentiality enforcement that RBAC alone cannot achieve: because MAC labels are enforced by the system and cannot be delegated by users, match outcomes and talent signing plans remain protected even against insider-threat scenarios where a cleared user attempts to share data with an uncertified colleague.</w:t>
      </w:r>
    </w:p>
    <w:p>
      <w:pPr>
        <w:spacing w:after="140"/>
      </w:pPr>
    </w:p>
    <w:p>
      <w:pPr>
        <w:spacing w:after="140"/>
      </w:pPr>
      <w:r>
        <w:rPr>
          <w:rFonts w:ascii="Arial" w:cs="Arial" w:eastAsia="Arial" w:hAnsi="Arial"/>
          <w:sz w:val="20"/>
          <w:szCs w:val="20"/>
        </w:rPr>
        <w:t xml:space="preserve">The five-tier user access level framework provides the operational structure that binds the ACL and access control model into a unified governance posture. By defining authentication requirements, provisioning workflows, audit obligations, and de-provisioning SLAs per tier, WWE ensures that access control is not merely a technical control but a documented, repeatable business process that can be audited, recertified, and defended to regulators.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66534" w:sz="1"/>
              <w:left w:val="single" w:color="166534" w:sz="1"/>
              <w:bottom w:val="single" w:color="166534" w:sz="1"/>
              <w:right w:val="single" w:color="166534" w:sz="1"/>
            </w:tcBorders>
            <w:shd w:fill="166534" w:val="clear"/>
            <w:tcMar>
              <w:top w:type="dxa" w:w="100"/>
              <w:left w:type="dxa" w:w="110"/>
              <w:bottom w:type="dxa" w:w="100"/>
              <w:right w:type="dxa" w:w="110"/>
            </w:tcMar>
            <w:vAlign w:val="center"/>
          </w:tcPr>
          <w:p>
            <w:pPr>
              <w:jc w:val="center"/>
            </w:pPr>
            <w:r>
              <w:rPr>
                <w:rFonts w:ascii="Arial" w:cs="Arial" w:eastAsia="Arial" w:hAnsi="Arial"/>
                <w:b/>
                <w:bCs/>
                <w:color w:val="FFFFFF"/>
                <w:sz w:val="17"/>
                <w:szCs w:val="17"/>
              </w:rPr>
              <w:t xml:space="preserve">PROGRAM OUTCOME</w:t>
            </w:r>
          </w:p>
        </w:tc>
        <w:tc>
          <w:tcPr>
            <w:tcW w:type="dxa" w:w="7920"/>
            <w:tcBorders>
              <w:top w:val="single" w:color="166534" w:sz="1"/>
              <w:left w:val="single" w:color="166534" w:sz="1"/>
              <w:bottom w:val="single" w:color="166534" w:sz="1"/>
              <w:right w:val="single" w:color="166534" w:sz="1"/>
            </w:tcBorders>
            <w:shd w:fill="DCFCE7" w:val="clear"/>
            <w:tcMar>
              <w:top w:type="dxa" w:w="100"/>
              <w:left w:type="dxa" w:w="150"/>
              <w:bottom w:type="dxa" w:w="100"/>
              <w:right w:type="dxa" w:w="150"/>
            </w:tcMar>
          </w:tcPr>
          <w:p>
            <w:r>
              <w:rPr>
                <w:rFonts w:ascii="Arial" w:cs="Arial" w:eastAsia="Arial" w:hAnsi="Arial"/>
                <w:sz w:val="19"/>
                <w:szCs w:val="19"/>
              </w:rPr>
              <w:t xml:space="preserve">All three access control measures are implemented, documented, and mapped to SOX, PCI DSS, GDPR/CCPA, and NIST SP 800-53 requirements. The WWE access control architecture demonstrates a mature, defense-in-depth approach to identity and access management appropriate for a global entertainment company handling sensitive IP, financial data, and consumer PII at scale.</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40"/>
              <w:left w:type="dxa" w:w="200"/>
              <w:bottom w:type="dxa" w:w="140"/>
              <w:right w:type="dxa" w:w="200"/>
            </w:tcMar>
          </w:tcPr>
          <w:p>
            <w:r>
              <w:rPr>
                <w:rFonts w:ascii="Arial" w:cs="Arial" w:eastAsia="Arial" w:hAnsi="Arial"/>
                <w:b/>
                <w:bCs/>
                <w:color w:val="0A0A0A"/>
                <w:sz w:val="20"/>
                <w:szCs w:val="20"/>
              </w:rPr>
              <w:t xml:space="preserve">Document Control</w:t>
            </w:r>
          </w:p>
          <w:p>
            <w:pPr>
              <w:spacing w:after="140"/>
            </w:pPr>
          </w:p>
          <w:p>
            <w:r>
              <w:rPr>
                <w:rFonts w:ascii="Arial" w:cs="Arial" w:eastAsia="Arial" w:hAnsi="Arial"/>
                <w:sz w:val="18"/>
                <w:szCs w:val="18"/>
              </w:rPr>
              <w:t xml:space="preserve">Version: 1.0  |  Status: Final  |  Date: April 2026</w:t>
            </w:r>
          </w:p>
          <w:p>
            <w:r>
              <w:rPr>
                <w:rFonts w:ascii="Arial" w:cs="Arial" w:eastAsia="Arial" w:hAnsi="Arial"/>
                <w:sz w:val="18"/>
                <w:szCs w:val="18"/>
              </w:rPr>
              <w:t xml:space="preserve">Author: DAE Cybersecurity Program  |  Classification: Confidential — Internal Use Only</w:t>
            </w:r>
          </w:p>
          <w:p>
            <w:r>
              <w:rPr>
                <w:rFonts w:ascii="Arial" w:cs="Arial" w:eastAsia="Arial" w:hAnsi="Arial"/>
                <w:i/>
                <w:iCs/>
                <w:sz w:val="17"/>
                <w:szCs w:val="17"/>
              </w:rPr>
              <w:t xml:space="preserve">This document is produced for educational and program assessment purposes within the DAE Cybersecurity &amp; Networking curriculum. The WWE scenario is used as a realistic organizational context for applied learning.</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tabs>
        <w:tab w:val="right" w:pos="9026"/>
      </w:tabs>
      <w:spacing w:before="80"/>
    </w:pPr>
    <w:r>
      <w:rPr>
        <w:rFonts w:ascii="Arial" w:cs="Arial" w:eastAsia="Arial" w:hAnsi="Arial"/>
        <w:color w:val="374151"/>
        <w:sz w:val="16"/>
        <w:szCs w:val="16"/>
      </w:rPr>
      <w:t xml:space="preserve">DAE Cybersecurity Program  |  April 2026</w:t>
    </w:r>
    <w:r>
      <w:rPr>
        <w:rFonts w:ascii="Arial" w:cs="Arial" w:eastAsia="Arial" w:hAnsi="Arial"/>
        <w:color w:val="374151"/>
        <w:sz w:val="16"/>
        <w:szCs w:val="16"/>
      </w:rPr>
      <w:t xml:space="preserve">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026"/>
      </w:tabs>
      <w:spacing w:after="80"/>
    </w:pPr>
    <w:r>
      <w:rPr>
        <w:rFonts w:ascii="Arial" w:cs="Arial" w:eastAsia="Arial" w:hAnsi="Arial"/>
        <w:b/>
        <w:bCs/>
        <w:color w:val="0A0A0A"/>
        <w:sz w:val="16"/>
        <w:szCs w:val="16"/>
      </w:rPr>
      <w:t xml:space="preserve">TRINITY PROJECT  |  WWE — Access Control Measures Implementation Report</w:t>
    </w:r>
    <w:r>
      <w:rPr>
        <w:rFonts w:ascii="Arial" w:cs="Arial" w:eastAsia="Arial" w:hAnsi="Arial"/>
        <w:color w:val="374151"/>
        <w:sz w:val="16"/>
        <w:szCs w:val="16"/>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abstractNum w:abstractNumId="4"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sz w:val="30"/>
      <w:szCs w:val="30"/>
    </w:rPr>
  </w:style>
  <w:style w:type="paragraph" w:styleId="Heading2">
    <w:name w:val="Heading 2"/>
    <w:basedOn w:val="Normal"/>
    <w:next w:val="Normal"/>
    <w:qFormat/>
    <w:pPr>
      <w:spacing w:after="120" w:before="300"/>
      <w:outlineLvl w:val="1"/>
    </w:pPr>
    <w:rPr>
      <w:rFonts w:ascii="Arial" w:cs="Arial" w:eastAsia="Arial" w:hAnsi="Arial"/>
      <w:b/>
      <w:bCs/>
      <w:sz w:val="24"/>
      <w:szCs w:val="24"/>
    </w:rPr>
  </w:style>
  <w:style w:type="paragraph" w:styleId="Heading3">
    <w:name w:val="Heading 3"/>
    <w:basedOn w:val="Normal"/>
    <w:next w:val="Normal"/>
    <w:qFormat/>
    <w:pPr>
      <w:spacing w:after="80" w:before="22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2026-04-29T17:41:35.142Z</dcterms:created>
  <dcterms:modified xsi:type="dcterms:W3CDTF">2026-04-29T17:41:35.142Z</dcterms:modified>
</cp:coreProperties>
</file>

<file path=docProps/custom.xml><?xml version="1.0" encoding="utf-8"?>
<Properties xmlns="http://schemas.openxmlformats.org/officeDocument/2006/custom-properties" xmlns:vt="http://schemas.openxmlformats.org/officeDocument/2006/docPropsVTypes"/>
</file>