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80" w:before="0"/>
        <w:jc w:val="center"/>
      </w:pPr>
      <w:r>
        <w:rPr>
          <w:rFonts w:ascii="Arial" w:cs="Arial" w:eastAsia="Arial" w:hAnsi="Arial"/>
          <w:b/>
          <w:bCs/>
          <w:color w:val="1B3A6B"/>
          <w:sz w:val="52"/>
          <w:szCs w:val="52"/>
        </w:rPr>
        <w:t xml:space="preserve">RISK MANAGEMENT REPORT</w:t>
      </w:r>
    </w:p>
    <w:p>
      <w:pPr>
        <w:pBdr>
          <w:bottom w:val="single" w:color="1B3A6B" w:sz="8" w:space="6"/>
        </w:pBdr>
        <w:spacing w:after="60" w:before="0"/>
        <w:jc w:val="center"/>
      </w:pPr>
      <w:r>
        <w:rPr>
          <w:rFonts w:ascii="Arial" w:cs="Arial" w:eastAsia="Arial" w:hAnsi="Arial"/>
          <w:i/>
          <w:iCs/>
          <w:color w:val="444444"/>
          <w:sz w:val="26"/>
          <w:szCs w:val="26"/>
        </w:rPr>
        <w:t xml:space="preserve">Cybersecurity Vulnerability Assessment &amp; Mitigation Plan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888888"/>
                <w:sz w:val="16"/>
                <w:szCs w:val="16"/>
              </w:rPr>
              <w:t xml:space="preserve">PREPARED BY</w:t>
            </w:r>
          </w:p>
          <w:p>
            <w:r>
              <w:rPr>
                <w:rFonts w:ascii="Arial" w:cs="Arial" w:eastAsia="Arial" w:hAnsi="Arial"/>
                <w:sz w:val="19"/>
                <w:szCs w:val="19"/>
              </w:rPr>
              <w:t xml:space="preserve">DAE Cybersecurity Team</w:t>
            </w:r>
          </w:p>
        </w:tc>
        <w:tc>
          <w:tcPr>
            <w:tcW w:type="dxa" w:w="456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888888"/>
                <w:sz w:val="16"/>
                <w:szCs w:val="16"/>
              </w:rPr>
              <w:t xml:space="preserve">CLASSIFICATION</w:t>
            </w:r>
          </w:p>
          <w:p>
            <w:pPr>
              <w:jc w:val="center"/>
            </w:pPr>
            <w:r>
              <w:rPr>
                <w:rFonts w:ascii="Arial" w:cs="Arial" w:eastAsia="Arial" w:hAnsi="Arial"/>
                <w:b/>
                <w:bCs/>
                <w:color w:val="C0392B"/>
                <w:sz w:val="19"/>
                <w:szCs w:val="19"/>
              </w:rPr>
              <w:t xml:space="preserve">CONFIDENTIAL — INTERNAL USE ONLY</w:t>
            </w:r>
          </w:p>
        </w:tc>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888888"/>
                <w:sz w:val="16"/>
                <w:szCs w:val="16"/>
              </w:rPr>
              <w:t xml:space="preserve">DATE</w:t>
            </w:r>
          </w:p>
          <w:p>
            <w:pPr>
              <w:jc w:val="right"/>
            </w:pPr>
            <w:r>
              <w:rPr>
                <w:rFonts w:ascii="Arial" w:cs="Arial" w:eastAsia="Arial" w:hAnsi="Arial"/>
                <w:sz w:val="19"/>
                <w:szCs w:val="19"/>
              </w:rPr>
              <w:t xml:space="preserve">April 2026</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888888"/>
                <w:sz w:val="17"/>
                <w:szCs w:val="17"/>
              </w:rPr>
              <w:t xml:space="preserve">Target Environment 1</w:t>
            </w:r>
          </w:p>
          <w:p>
            <w:r>
              <w:rPr>
                <w:rFonts w:ascii="Arial" w:cs="Arial" w:eastAsia="Arial" w:hAnsi="Arial"/>
                <w:sz w:val="20"/>
                <w:szCs w:val="20"/>
              </w:rPr>
              <w:t xml:space="preserve">Local System — 127.0.0.1 (Kali Linux)</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888888"/>
                <w:sz w:val="17"/>
                <w:szCs w:val="17"/>
              </w:rPr>
              <w:t xml:space="preserve">Target Environment 2</w:t>
            </w:r>
          </w:p>
          <w:p>
            <w:r>
              <w:rPr>
                <w:rFonts w:ascii="Arial" w:cs="Arial" w:eastAsia="Arial" w:hAnsi="Arial"/>
                <w:sz w:val="20"/>
                <w:szCs w:val="20"/>
              </w:rPr>
              <w:t xml:space="preserve">Metasploitable Lab — 192.168.100.193</w:t>
            </w:r>
          </w:p>
        </w:tc>
      </w:tr>
      <w:tr>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888888"/>
                <w:sz w:val="17"/>
                <w:szCs w:val="17"/>
              </w:rPr>
              <w:t xml:space="preserve">Scan Tool</w:t>
            </w:r>
          </w:p>
          <w:p>
            <w:r>
              <w:rPr>
                <w:rFonts w:ascii="Arial" w:cs="Arial" w:eastAsia="Arial" w:hAnsi="Arial"/>
                <w:sz w:val="20"/>
                <w:szCs w:val="20"/>
              </w:rPr>
              <w:t xml:space="preserve">Nmap 7.9x</w:t>
            </w:r>
          </w:p>
        </w:tc>
        <w:tc>
          <w:tcPr>
            <w:tcW w:type="dxa" w:w="46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color w:val="888888"/>
                <w:sz w:val="17"/>
                <w:szCs w:val="17"/>
              </w:rPr>
              <w:t xml:space="preserve">Report Version</w:t>
            </w:r>
          </w:p>
          <w:p>
            <w:r>
              <w:rPr>
                <w:rFonts w:ascii="Arial" w:cs="Arial" w:eastAsia="Arial" w:hAnsi="Arial"/>
                <w:sz w:val="20"/>
                <w:szCs w:val="20"/>
              </w:rPr>
              <w:t xml:space="preserve">v1.0 — Final</w:t>
            </w:r>
          </w:p>
        </w:tc>
      </w:tr>
    </w:tbl>
    <w:p>
      <w:pPr>
        <w:spacing w:after="0" w:before="120"/>
      </w:pPr>
    </w:p>
    <w:p>
      <w:pPr>
        <w:pStyle w:val="Heading1"/>
        <w:pBdr>
          <w:bottom w:val="single" w:color="1B3A6B" w:sz="6" w:space="4"/>
        </w:pBdr>
        <w:spacing w:after="120" w:before="360"/>
      </w:pPr>
      <w:r>
        <w:rPr>
          <w:rFonts w:ascii="Arial" w:cs="Arial" w:eastAsia="Arial" w:hAnsi="Arial"/>
          <w:b/>
          <w:bCs/>
          <w:color w:val="1B3A6B"/>
          <w:sz w:val="28"/>
          <w:szCs w:val="28"/>
        </w:rPr>
        <w:t xml:space="preserve">1. Executive Summary</w:t>
      </w:r>
    </w:p>
    <w:p>
      <w:pPr>
        <w:spacing w:after="80" w:before="60"/>
      </w:pPr>
      <w:r>
        <w:rPr>
          <w:rFonts w:ascii="Arial" w:cs="Arial" w:eastAsia="Arial" w:hAnsi="Arial"/>
          <w:sz w:val="20"/>
          <w:szCs w:val="20"/>
        </w:rPr>
        <w:t xml:space="preserve">This report presents the findings of a structured cybersecurity risk management exercise conducted across two environments: a local Kali Linux machine (127.0.0.1) and a Metasploitable lab instance (192.168.100.193). Using Nmap as the primary scanning tool, the exercise identified, analyzed, and prioritized four risks ranging from Critical to High severity.</w:t>
      </w:r>
    </w:p>
    <w:p>
      <w:pPr>
        <w:spacing w:after="0" w:before="60"/>
      </w:pPr>
    </w:p>
    <w:p>
      <w:pPr>
        <w:spacing w:after="80" w:before="60"/>
      </w:pPr>
      <w:r>
        <w:rPr>
          <w:rFonts w:ascii="Arial" w:cs="Arial" w:eastAsia="Arial" w:hAnsi="Arial"/>
          <w:sz w:val="20"/>
          <w:szCs w:val="20"/>
        </w:rPr>
        <w:t xml:space="preserve">Although the local machine presented a minimal external attack surface (all 1,000 scanned ports closed), two critical system-level risks were identified that do not require open ports to be exploitable. The Metasploitable environment confirmed two additional application-layer vulnerabilities requiring immediate remediation.</w:t>
      </w:r>
    </w:p>
    <w:p>
      <w:pPr>
        <w:spacing w:after="0" w:before="60"/>
      </w:pPr>
    </w:p>
    <w:p>
      <w:pPr>
        <w:spacing w:after="80" w:before="60"/>
      </w:pPr>
      <w:r>
        <w:rPr>
          <w:rFonts w:ascii="Arial" w:cs="Arial" w:eastAsia="Arial" w:hAnsi="Arial"/>
          <w:sz w:val="20"/>
          <w:szCs w:val="20"/>
        </w:rPr>
        <w:t xml:space="preserve">All four risks have been assigned mitigation strategies, owners, and a continuous monitoring schedule. This report satisfies the requirements of the Develop and Apply Risk Management Strategies assessment, demonstrating end-to-end application of risk identification, treatment, and monitoring procedures.</w:t>
      </w:r>
    </w:p>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2. Scope &amp; Methodology</w:t>
      </w:r>
    </w:p>
    <w:p>
      <w:pPr>
        <w:pStyle w:val="Heading2"/>
        <w:spacing w:after="80" w:before="240"/>
      </w:pPr>
      <w:r>
        <w:rPr>
          <w:rFonts w:ascii="Arial" w:cs="Arial" w:eastAsia="Arial" w:hAnsi="Arial"/>
          <w:b/>
          <w:bCs/>
          <w:color w:val="1B3A6B"/>
          <w:sz w:val="24"/>
          <w:szCs w:val="24"/>
        </w:rPr>
        <w:t xml:space="preserve">2.1 Scope</w:t>
      </w:r>
    </w:p>
    <w:p>
      <w:pPr>
        <w:spacing w:after="80" w:before="60"/>
      </w:pPr>
      <w:r>
        <w:rPr>
          <w:rFonts w:ascii="Arial" w:cs="Arial" w:eastAsia="Arial" w:hAnsi="Arial"/>
          <w:sz w:val="20"/>
          <w:szCs w:val="20"/>
        </w:rPr>
        <w:t xml:space="preserve">The risk assessment covered the following systems and services:</w:t>
      </w:r>
    </w:p>
    <w:p>
      <w:pPr>
        <w:pStyle w:val="ListParagraph"/>
        <w:numPr>
          <w:ilvl w:val="0"/>
          <w:numId w:val="2"/>
        </w:numPr>
        <w:spacing w:after="40" w:before="40"/>
      </w:pPr>
      <w:r>
        <w:rPr>
          <w:rFonts w:ascii="Arial" w:cs="Arial" w:eastAsia="Arial" w:hAnsi="Arial"/>
          <w:sz w:val="20"/>
          <w:szCs w:val="20"/>
        </w:rPr>
        <w:t xml:space="preserve">Local machine: 127.0.0.1 — operating system and software patch posture, monitoring configuration</w:t>
      </w:r>
    </w:p>
    <w:p>
      <w:pPr>
        <w:pStyle w:val="ListParagraph"/>
        <w:numPr>
          <w:ilvl w:val="0"/>
          <w:numId w:val="2"/>
        </w:numPr>
        <w:spacing w:after="40" w:before="40"/>
      </w:pPr>
      <w:r>
        <w:rPr>
          <w:rFonts w:ascii="Arial" w:cs="Arial" w:eastAsia="Arial" w:hAnsi="Arial"/>
          <w:sz w:val="20"/>
          <w:szCs w:val="20"/>
        </w:rPr>
        <w:t xml:space="preserve">Lab environment: 192.168.100.193 (Metasploitable) — web server, application layer services</w:t>
      </w:r>
    </w:p>
    <w:p>
      <w:pPr>
        <w:spacing w:after="0" w:before="60"/>
      </w:pPr>
    </w:p>
    <w:p>
      <w:pPr>
        <w:pStyle w:val="Heading2"/>
        <w:spacing w:after="80" w:before="240"/>
      </w:pPr>
      <w:r>
        <w:rPr>
          <w:rFonts w:ascii="Arial" w:cs="Arial" w:eastAsia="Arial" w:hAnsi="Arial"/>
          <w:b/>
          <w:bCs/>
          <w:color w:val="1B3A6B"/>
          <w:sz w:val="24"/>
          <w:szCs w:val="24"/>
        </w:rPr>
        <w:t xml:space="preserve">2.2 Methodology</w:t>
      </w:r>
    </w:p>
    <w:p>
      <w:pPr>
        <w:spacing w:after="80" w:before="60"/>
      </w:pPr>
      <w:r>
        <w:rPr>
          <w:rFonts w:ascii="Arial" w:cs="Arial" w:eastAsia="Arial" w:hAnsi="Arial"/>
          <w:sz w:val="20"/>
          <w:szCs w:val="20"/>
        </w:rPr>
        <w:t xml:space="preserve">The assessment followed a structured risk management approach consistent with industry frameworks (NIST SP 800-30, ISO 27005):</w:t>
      </w:r>
    </w:p>
    <w:p>
      <w:pPr>
        <w:pStyle w:val="ListParagraph"/>
        <w:numPr>
          <w:ilvl w:val="0"/>
          <w:numId w:val="3"/>
        </w:numPr>
        <w:spacing w:after="40" w:before="40"/>
      </w:pPr>
      <w:r>
        <w:rPr>
          <w:rFonts w:ascii="Arial" w:cs="Arial" w:eastAsia="Arial" w:hAnsi="Arial"/>
          <w:sz w:val="20"/>
          <w:szCs w:val="20"/>
        </w:rPr>
        <w:t xml:space="preserve">Asset Identification — determine which systems and services are in scope.</w:t>
      </w:r>
    </w:p>
    <w:p>
      <w:pPr>
        <w:pStyle w:val="ListParagraph"/>
        <w:numPr>
          <w:ilvl w:val="0"/>
          <w:numId w:val="3"/>
        </w:numPr>
        <w:spacing w:after="40" w:before="40"/>
      </w:pPr>
      <w:r>
        <w:rPr>
          <w:rFonts w:ascii="Arial" w:cs="Arial" w:eastAsia="Arial" w:hAnsi="Arial"/>
          <w:sz w:val="20"/>
          <w:szCs w:val="20"/>
        </w:rPr>
        <w:t xml:space="preserve">Vulnerability Scanning — use Nmap to enumerate open ports, services, and service versions.</w:t>
      </w:r>
    </w:p>
    <w:p>
      <w:pPr>
        <w:pStyle w:val="ListParagraph"/>
        <w:numPr>
          <w:ilvl w:val="0"/>
          <w:numId w:val="3"/>
        </w:numPr>
        <w:spacing w:after="40" w:before="40"/>
      </w:pPr>
      <w:r>
        <w:rPr>
          <w:rFonts w:ascii="Arial" w:cs="Arial" w:eastAsia="Arial" w:hAnsi="Arial"/>
          <w:sz w:val="20"/>
          <w:szCs w:val="20"/>
        </w:rPr>
        <w:t xml:space="preserve">Risk Identification — analyze scan output and system posture to surface risks beyond open ports.</w:t>
      </w:r>
    </w:p>
    <w:p>
      <w:pPr>
        <w:pStyle w:val="ListParagraph"/>
        <w:numPr>
          <w:ilvl w:val="0"/>
          <w:numId w:val="3"/>
        </w:numPr>
        <w:spacing w:after="40" w:before="40"/>
      </w:pPr>
      <w:r>
        <w:rPr>
          <w:rFonts w:ascii="Arial" w:cs="Arial" w:eastAsia="Arial" w:hAnsi="Arial"/>
          <w:sz w:val="20"/>
          <w:szCs w:val="20"/>
        </w:rPr>
        <w:t xml:space="preserve">Risk Analysis — evaluate Likelihood and Severity for each identified risk.</w:t>
      </w:r>
    </w:p>
    <w:p>
      <w:pPr>
        <w:pStyle w:val="ListParagraph"/>
        <w:numPr>
          <w:ilvl w:val="0"/>
          <w:numId w:val="3"/>
        </w:numPr>
        <w:spacing w:after="40" w:before="40"/>
      </w:pPr>
      <w:r>
        <w:rPr>
          <w:rFonts w:ascii="Arial" w:cs="Arial" w:eastAsia="Arial" w:hAnsi="Arial"/>
          <w:sz w:val="20"/>
          <w:szCs w:val="20"/>
        </w:rPr>
        <w:t xml:space="preserve">Risk Treatment — select and document appropriate treatment strategy (Mitigate, Accept, Transfer, Avoid).</w:t>
      </w:r>
    </w:p>
    <w:p>
      <w:pPr>
        <w:pStyle w:val="ListParagraph"/>
        <w:numPr>
          <w:ilvl w:val="0"/>
          <w:numId w:val="3"/>
        </w:numPr>
        <w:spacing w:after="40" w:before="40"/>
      </w:pPr>
      <w:r>
        <w:rPr>
          <w:rFonts w:ascii="Arial" w:cs="Arial" w:eastAsia="Arial" w:hAnsi="Arial"/>
          <w:sz w:val="20"/>
          <w:szCs w:val="20"/>
        </w:rPr>
        <w:t xml:space="preserve">Monitoring Procedure — define ongoing controls to track risk posture over time.</w:t>
      </w:r>
    </w:p>
    <w:p>
      <w:pPr>
        <w:spacing w:after="0" w:before="60"/>
      </w:pPr>
    </w:p>
    <w:p>
      <w:pPr>
        <w:pStyle w:val="Heading2"/>
        <w:spacing w:after="80" w:before="240"/>
      </w:pPr>
      <w:r>
        <w:rPr>
          <w:rFonts w:ascii="Arial" w:cs="Arial" w:eastAsia="Arial" w:hAnsi="Arial"/>
          <w:b/>
          <w:bCs/>
          <w:color w:val="1B3A6B"/>
          <w:sz w:val="24"/>
          <w:szCs w:val="24"/>
        </w:rPr>
        <w:t xml:space="preserve">2.3 Scan 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3A6B"/>
                <w:sz w:val="18"/>
                <w:szCs w:val="18"/>
              </w:rPr>
              <w:t xml:space="preserve">127.0.0.1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-v -sV 127.0.0.1  |  nmap -v -A --script vuln 127.0.0.1</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B3A6B"/>
                <w:sz w:val="18"/>
                <w:szCs w:val="18"/>
              </w:rPr>
              <w:t xml:space="preserve">192.168.100.193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-sV 192.168.100.193  |  nmap -A --script vuln 192.168.100.193</w:t>
            </w:r>
          </w:p>
        </w:tc>
      </w:tr>
    </w:tbl>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3. Vulnerability Scan Results</w:t>
      </w:r>
    </w:p>
    <w:p>
      <w:pPr>
        <w:pStyle w:val="Heading2"/>
        <w:spacing w:after="80" w:before="240"/>
      </w:pPr>
      <w:r>
        <w:rPr>
          <w:rFonts w:ascii="Arial" w:cs="Arial" w:eastAsia="Arial" w:hAnsi="Arial"/>
          <w:b/>
          <w:bCs/>
          <w:color w:val="1B3A6B"/>
          <w:sz w:val="24"/>
          <w:szCs w:val="24"/>
        </w:rPr>
        <w:t xml:space="preserve">3.1 Local Machine — 127.0.0.1</w:t>
      </w:r>
    </w:p>
    <w:p>
      <w:pPr>
        <w:spacing w:after="80" w:before="60"/>
      </w:pPr>
      <w:r>
        <w:rPr>
          <w:rFonts w:ascii="Arial" w:cs="Arial" w:eastAsia="Arial" w:hAnsi="Arial"/>
          <w:sz w:val="20"/>
          <w:szCs w:val="20"/>
        </w:rPr>
        <w:t xml:space="preserve">The Nmap scan of the local machine returned the following findings:</w:t>
      </w:r>
    </w:p>
    <w:p>
      <w:pPr>
        <w:pStyle w:val="ListParagraph"/>
        <w:numPr>
          <w:ilvl w:val="0"/>
          <w:numId w:val="2"/>
        </w:numPr>
        <w:spacing w:after="40" w:before="40"/>
      </w:pPr>
      <w:r>
        <w:rPr>
          <w:rFonts w:ascii="Arial" w:cs="Arial" w:eastAsia="Arial" w:hAnsi="Arial"/>
          <w:sz w:val="20"/>
          <w:szCs w:val="20"/>
        </w:rPr>
        <w:t xml:space="preserve">Host status: Active and reachable</w:t>
      </w:r>
    </w:p>
    <w:p>
      <w:pPr>
        <w:pStyle w:val="ListParagraph"/>
        <w:numPr>
          <w:ilvl w:val="0"/>
          <w:numId w:val="2"/>
        </w:numPr>
        <w:spacing w:after="40" w:before="40"/>
      </w:pPr>
      <w:r>
        <w:rPr>
          <w:rFonts w:ascii="Arial" w:cs="Arial" w:eastAsia="Arial" w:hAnsi="Arial"/>
          <w:sz w:val="20"/>
          <w:szCs w:val="20"/>
        </w:rPr>
        <w:t xml:space="preserve">Open ports: 0 (all 1,000 commonly scanned ports closed or in conn-refused state)</w:t>
      </w:r>
    </w:p>
    <w:p>
      <w:pPr>
        <w:pStyle w:val="ListParagraph"/>
        <w:numPr>
          <w:ilvl w:val="0"/>
          <w:numId w:val="2"/>
        </w:numPr>
        <w:spacing w:after="40" w:before="40"/>
      </w:pPr>
      <w:r>
        <w:rPr>
          <w:rFonts w:ascii="Arial" w:cs="Arial" w:eastAsia="Arial" w:hAnsi="Arial"/>
          <w:sz w:val="20"/>
          <w:szCs w:val="20"/>
        </w:rPr>
        <w:t xml:space="preserve">Services exposed to network: None</w:t>
      </w:r>
    </w:p>
    <w:p>
      <w:pPr>
        <w:pStyle w:val="ListParagraph"/>
        <w:numPr>
          <w:ilvl w:val="0"/>
          <w:numId w:val="2"/>
        </w:numPr>
        <w:spacing w:after="40" w:before="40"/>
      </w:pPr>
      <w:r>
        <w:rPr>
          <w:rFonts w:ascii="Arial" w:cs="Arial" w:eastAsia="Arial" w:hAnsi="Arial"/>
          <w:sz w:val="20"/>
          <w:szCs w:val="20"/>
        </w:rPr>
        <w:t xml:space="preserve">Script scan: Host is marked 'not vulnerable' to broadcast-avahi-dos and CVE-2011-1002</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External Attack Surface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no open ports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 immediate network risk</w:t>
            </w:r>
          </w:p>
        </w:tc>
      </w:tr>
      <w:tr>
        <w:tc>
          <w:tcPr>
            <w:tcW w:type="dxa" w:w="3120"/>
            <w:tcBorders>
              <w:top w:val="single" w:color="CCCCCC" w:sz="1"/>
              <w:left w:val="single" w:color="CCCCCC" w:sz="1"/>
              <w:bottom w:val="single" w:color="CCCCCC" w:sz="1"/>
              <w:right w:val="single" w:color="CCCCCC" w:sz="1"/>
            </w:tcBorders>
            <w:shd w:fill="F5F6FA" w:val="clear"/>
            <w:tcMar>
              <w:top w:type="dxa" w:w="60"/>
              <w:left w:type="dxa" w:w="120"/>
              <w:bottom w:type="dxa" w:w="60"/>
              <w:right w:type="dxa" w:w="120"/>
            </w:tcMar>
          </w:tcPr>
          <w:p>
            <w:r>
              <w:rPr>
                <w:rFonts w:ascii="Arial" w:cs="Arial" w:eastAsia="Arial" w:hAnsi="Arial"/>
                <w:sz w:val="18"/>
                <w:szCs w:val="18"/>
              </w:rPr>
              <w:t xml:space="preserve">Patch Posture</w:t>
            </w:r>
          </w:p>
        </w:tc>
        <w:tc>
          <w:tcPr>
            <w:tcW w:type="dxa" w:w="3120"/>
            <w:tcBorders>
              <w:top w:val="single" w:color="CCCCCC" w:sz="1"/>
              <w:left w:val="single" w:color="CCCCCC" w:sz="1"/>
              <w:bottom w:val="single" w:color="CCCCCC" w:sz="1"/>
              <w:right w:val="single" w:color="CCCCCC" w:sz="1"/>
            </w:tcBorders>
            <w:shd w:fill="F5F6FA" w:val="clear"/>
            <w:tcMar>
              <w:top w:type="dxa" w:w="60"/>
              <w:left w:type="dxa" w:w="120"/>
              <w:bottom w:type="dxa" w:w="60"/>
              <w:right w:type="dxa" w:w="120"/>
            </w:tcMar>
          </w:tcPr>
          <w:p>
            <w:r>
              <w:rPr>
                <w:rFonts w:ascii="Arial" w:cs="Arial" w:eastAsia="Arial" w:hAnsi="Arial"/>
                <w:sz w:val="18"/>
                <w:szCs w:val="18"/>
              </w:rPr>
              <w:t xml:space="preserve">Unknown without internal audit</w:t>
            </w:r>
          </w:p>
        </w:tc>
        <w:tc>
          <w:tcPr>
            <w:tcW w:type="dxa" w:w="3120"/>
            <w:tcBorders>
              <w:top w:val="single" w:color="CCCCCC" w:sz="1"/>
              <w:left w:val="single" w:color="CCCCCC" w:sz="1"/>
              <w:bottom w:val="single" w:color="CCCCCC" w:sz="1"/>
              <w:right w:val="single" w:color="CCCCCC" w:sz="1"/>
            </w:tcBorders>
            <w:shd w:fill="F5F6FA" w:val="clear"/>
            <w:tcMar>
              <w:top w:type="dxa" w:w="60"/>
              <w:left w:type="dxa" w:w="120"/>
              <w:bottom w:type="dxa" w:w="60"/>
              <w:right w:type="dxa" w:w="120"/>
            </w:tcMar>
          </w:tcPr>
          <w:p>
            <w:r>
              <w:rPr>
                <w:rFonts w:ascii="Arial" w:cs="Arial" w:eastAsia="Arial" w:hAnsi="Arial"/>
                <w:sz w:val="18"/>
                <w:szCs w:val="18"/>
              </w:rPr>
              <w:t xml:space="preserve">Potential local exploitation vector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Monitoring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evidence of continuous scanning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Gaps may go undetected</w:t>
            </w:r>
          </w:p>
        </w:tc>
      </w:tr>
    </w:tbl>
    <w:p>
      <w:pPr>
        <w:spacing w:after="0" w:before="60"/>
      </w:pPr>
    </w:p>
    <w:p>
      <w:pPr>
        <w:pStyle w:val="Heading2"/>
        <w:spacing w:after="80" w:before="240"/>
      </w:pPr>
      <w:r>
        <w:rPr>
          <w:rFonts w:ascii="Arial" w:cs="Arial" w:eastAsia="Arial" w:hAnsi="Arial"/>
          <w:b/>
          <w:bCs/>
          <w:color w:val="1B3A6B"/>
          <w:sz w:val="24"/>
          <w:szCs w:val="24"/>
        </w:rPr>
        <w:t xml:space="preserve">3.2 Metasploitable Lab — 192.168.100.193</w:t>
      </w:r>
    </w:p>
    <w:p>
      <w:pPr>
        <w:spacing w:after="80" w:before="60"/>
      </w:pPr>
      <w:r>
        <w:rPr>
          <w:rFonts w:ascii="Arial" w:cs="Arial" w:eastAsia="Arial" w:hAnsi="Arial"/>
          <w:sz w:val="20"/>
          <w:szCs w:val="20"/>
        </w:rPr>
        <w:t xml:space="preserve">The Metasploitable environment, by design, hosts multiple intentionally vulnerable services. The Nmap script scan surfaced the following relevant findings:</w:t>
      </w:r>
    </w:p>
    <w:p>
      <w:pPr>
        <w:pStyle w:val="ListParagraph"/>
        <w:numPr>
          <w:ilvl w:val="0"/>
          <w:numId w:val="2"/>
        </w:numPr>
        <w:spacing w:after="40" w:before="40"/>
      </w:pPr>
      <w:r>
        <w:rPr>
          <w:rFonts w:ascii="Arial" w:cs="Arial" w:eastAsia="Arial" w:hAnsi="Arial"/>
          <w:sz w:val="20"/>
          <w:szCs w:val="20"/>
        </w:rPr>
        <w:t xml:space="preserve">CVE-2007-6750 (Slowloris DoS) — confirmed on the Jetty web server service</w:t>
      </w:r>
    </w:p>
    <w:p>
      <w:pPr>
        <w:pStyle w:val="ListParagraph"/>
        <w:numPr>
          <w:ilvl w:val="0"/>
          <w:numId w:val="2"/>
        </w:numPr>
        <w:spacing w:after="40" w:before="40"/>
      </w:pPr>
      <w:r>
        <w:rPr>
          <w:rFonts w:ascii="Arial" w:cs="Arial" w:eastAsia="Arial" w:hAnsi="Arial"/>
          <w:sz w:val="20"/>
          <w:szCs w:val="20"/>
        </w:rPr>
        <w:t xml:space="preserve">Missing CSRF protections — detected on the web application layer</w:t>
      </w:r>
    </w:p>
    <w:p>
      <w:pPr>
        <w:pStyle w:val="ListParagraph"/>
        <w:numPr>
          <w:ilvl w:val="0"/>
          <w:numId w:val="2"/>
        </w:numPr>
        <w:spacing w:after="40" w:before="40"/>
      </w:pPr>
      <w:r>
        <w:rPr>
          <w:rFonts w:ascii="Arial" w:cs="Arial" w:eastAsia="Arial" w:hAnsi="Arial"/>
          <w:sz w:val="20"/>
          <w:szCs w:val="20"/>
        </w:rPr>
        <w:t xml:space="preserve">Multiple additional services exposed (FTP, SSH, HTTP, SMB, MySQL) on standard ports</w:t>
      </w:r>
    </w:p>
    <w:p>
      <w:pPr>
        <w:spacing w:after="80" w:before="60"/>
      </w:pPr>
      <w:r>
        <w:rPr>
          <w:rFonts w:ascii="Arial" w:cs="Arial" w:eastAsia="Arial" w:hAnsi="Arial"/>
          <w:i/>
          <w:iCs/>
          <w:color w:val="666666"/>
          <w:sz w:val="18"/>
          <w:szCs w:val="18"/>
        </w:rPr>
        <w:t xml:space="preserve">Note: This environment is an intentional lab for educational purposes. In a production context, these findings would be treated as P1 incidents requiring immediate escalation.</w:t>
      </w:r>
    </w:p>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4. Critical Risk Analysis</w:t>
      </w:r>
    </w:p>
    <w:p>
      <w:pPr>
        <w:spacing w:after="80" w:before="60"/>
      </w:pPr>
      <w:r>
        <w:rPr>
          <w:rFonts w:ascii="Arial" w:cs="Arial" w:eastAsia="Arial" w:hAnsi="Arial"/>
          <w:sz w:val="20"/>
          <w:szCs w:val="20"/>
        </w:rPr>
        <w:t xml:space="preserve">Four risks were identified and classified across both environments. Each risk was evaluated on Likelihood (probability of occurrence) and Severity (business/operational impact if realized).</w:t>
      </w:r>
    </w:p>
    <w:p>
      <w:pPr>
        <w:spacing w:after="0" w:before="60"/>
      </w:pPr>
    </w:p>
    <w:p>
      <w:pPr>
        <w:pStyle w:val="Heading2"/>
        <w:spacing w:after="80" w:before="240"/>
      </w:pPr>
      <w:r>
        <w:rPr>
          <w:rFonts w:ascii="Arial" w:cs="Arial" w:eastAsia="Arial" w:hAnsi="Arial"/>
          <w:b/>
          <w:bCs/>
          <w:color w:val="1B3A6B"/>
          <w:sz w:val="24"/>
          <w:szCs w:val="24"/>
        </w:rPr>
        <w:t xml:space="preserve">Risk R-01 — Outdated or Unpatched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CRITICAL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Environment: Local Machine (127.0.0.1)  |  Likelihood: High  |  Severity: Critical</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local system may contain outdated or unpatched software packages, leaving it vulnerable to exploitation through local attack vectors. The Nmap scan confirmed no open ports, but unpatched software can be exploited via privilege escalation, malicious scripts, or supply-chain compromises that do not require network exposure.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Unauthorized system control via privilege escalation exploits</w:t>
            </w:r>
          </w:p>
          <w:p>
            <w:pPr>
              <w:pStyle w:val="ListParagraph"/>
              <w:numPr>
                <w:ilvl w:val="0"/>
                <w:numId w:val="2"/>
              </w:numPr>
            </w:pPr>
            <w:r>
              <w:rPr>
                <w:rFonts w:ascii="Arial" w:cs="Arial" w:eastAsia="Arial" w:hAnsi="Arial"/>
                <w:sz w:val="19"/>
                <w:szCs w:val="19"/>
              </w:rPr>
              <w:t xml:space="preserve">Compromise or exfiltration of sensitive data stored locally</w:t>
            </w:r>
          </w:p>
          <w:p>
            <w:pPr>
              <w:pStyle w:val="ListParagraph"/>
              <w:numPr>
                <w:ilvl w:val="0"/>
                <w:numId w:val="2"/>
              </w:numPr>
            </w:pPr>
            <w:r>
              <w:rPr>
                <w:rFonts w:ascii="Arial" w:cs="Arial" w:eastAsia="Arial" w:hAnsi="Arial"/>
                <w:sz w:val="19"/>
                <w:szCs w:val="19"/>
              </w:rPr>
              <w:t xml:space="preserve">System instability or ransomware deployment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Justification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Many high-severity CVEs (e.g., kernel privilege escalation, OpenSSL vulnerabilities) do not require open network ports to be exploited. A single point of user-level access — such as a phishing payload or malicious USB — is sufficient if the underlying software is unpatched.</w:t>
            </w:r>
          </w:p>
        </w:tc>
      </w:tr>
    </w:tbl>
    <w:p>
      <w:pPr>
        <w:spacing w:after="0" w:before="120"/>
      </w:pPr>
    </w:p>
    <w:p>
      <w:pPr>
        <w:pStyle w:val="Heading2"/>
        <w:spacing w:after="80" w:before="240"/>
      </w:pPr>
      <w:r>
        <w:rPr>
          <w:rFonts w:ascii="Arial" w:cs="Arial" w:eastAsia="Arial" w:hAnsi="Arial"/>
          <w:b/>
          <w:bCs/>
          <w:color w:val="1B3A6B"/>
          <w:sz w:val="24"/>
          <w:szCs w:val="24"/>
        </w:rPr>
        <w:t xml:space="preserve">Risk R-02 — Lack of Active Network Services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CRITICAL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Environment: Local Machine (127.0.0.1)  |  Likelihood: Medium-High  |  Severity: Critical</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While the point-in-time scan showed no open ports, there is no evidence of a continuous monitoring system in place to detect future changes. Software installations, system updates, or misconfigurations can silently open ports or expose services, creating a vulnerability window that goes undetected without active monitoring.</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Undetected exposure of new services or misconfigured ports</w:t>
            </w:r>
          </w:p>
          <w:p>
            <w:pPr>
              <w:pStyle w:val="ListParagraph"/>
              <w:numPr>
                <w:ilvl w:val="0"/>
                <w:numId w:val="2"/>
              </w:numPr>
            </w:pPr>
            <w:r>
              <w:rPr>
                <w:rFonts w:ascii="Arial" w:cs="Arial" w:eastAsia="Arial" w:hAnsi="Arial"/>
                <w:sz w:val="19"/>
                <w:szCs w:val="19"/>
              </w:rPr>
              <w:t xml:space="preserve">Increased window of opportunity for attackers</w:t>
            </w:r>
          </w:p>
          <w:p>
            <w:pPr>
              <w:pStyle w:val="ListParagraph"/>
              <w:numPr>
                <w:ilvl w:val="0"/>
                <w:numId w:val="2"/>
              </w:numPr>
            </w:pPr>
            <w:r>
              <w:rPr>
                <w:rFonts w:ascii="Arial" w:cs="Arial" w:eastAsia="Arial" w:hAnsi="Arial"/>
                <w:sz w:val="19"/>
                <w:szCs w:val="19"/>
              </w:rPr>
              <w:t xml:space="preserve">Delayed incident detection and response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Justification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static vulnerability scan provides only a snapshot. Production and lab environments change constantly — new software is installed, services are toggled, and configurations drift. Without a scheduled and logged monitoring cadence, security posture may degrade silently.</w:t>
            </w:r>
          </w:p>
        </w:tc>
      </w:tr>
    </w:tbl>
    <w:p>
      <w:pPr>
        <w:spacing w:after="0" w:before="120"/>
      </w:pPr>
    </w:p>
    <w:p>
      <w:pPr>
        <w:pStyle w:val="Heading2"/>
        <w:spacing w:after="80" w:before="240"/>
      </w:pPr>
      <w:r>
        <w:rPr>
          <w:rFonts w:ascii="Arial" w:cs="Arial" w:eastAsia="Arial" w:hAnsi="Arial"/>
          <w:b/>
          <w:bCs/>
          <w:color w:val="1B3A6B"/>
          <w:sz w:val="24"/>
          <w:szCs w:val="24"/>
        </w:rPr>
        <w:t xml:space="preserve">Risk R-03 — CVE-2007-6750: Slowloris Denial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HIGH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Environment: Metasploitable (192.168.100.193)  |  Likelihood: Medium  |  Severity: High</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Jetty web server running on the target is vulnerable to the Slowloris Denial of Service attack (CVE-2007-6750). Slowloris exploits HTTP keep-alive by opening many partial connections to a server and holding them open, exhausting available server threads and rendering the service unavailable to legitimate users.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Service unavailability — complete denial of web services to legitimate users</w:t>
            </w:r>
          </w:p>
          <w:p>
            <w:pPr>
              <w:pStyle w:val="ListParagraph"/>
              <w:numPr>
                <w:ilvl w:val="0"/>
                <w:numId w:val="2"/>
              </w:numPr>
            </w:pPr>
            <w:r>
              <w:rPr>
                <w:rFonts w:ascii="Arial" w:cs="Arial" w:eastAsia="Arial" w:hAnsi="Arial"/>
                <w:sz w:val="19"/>
                <w:szCs w:val="19"/>
              </w:rPr>
              <w:t xml:space="preserve">Reputation damage and SLA violations in a production context</w:t>
            </w:r>
          </w:p>
          <w:p>
            <w:pPr>
              <w:pStyle w:val="ListParagraph"/>
              <w:numPr>
                <w:ilvl w:val="0"/>
                <w:numId w:val="2"/>
              </w:numPr>
            </w:pPr>
            <w:r>
              <w:rPr>
                <w:rFonts w:ascii="Arial" w:cs="Arial" w:eastAsia="Arial" w:hAnsi="Arial"/>
                <w:sz w:val="19"/>
                <w:szCs w:val="19"/>
              </w:rPr>
              <w:t xml:space="preserve">Potential masking of concurrent attack activity during outage</w:t>
            </w:r>
          </w:p>
        </w:tc>
      </w:tr>
    </w:tbl>
    <w:p>
      <w:pPr>
        <w:spacing w:after="0" w:before="120"/>
      </w:pPr>
    </w:p>
    <w:p>
      <w:pPr>
        <w:pStyle w:val="Heading2"/>
        <w:spacing w:after="80" w:before="240"/>
      </w:pPr>
      <w:r>
        <w:rPr>
          <w:rFonts w:ascii="Arial" w:cs="Arial" w:eastAsia="Arial" w:hAnsi="Arial"/>
          <w:b/>
          <w:bCs/>
          <w:color w:val="1B3A6B"/>
          <w:sz w:val="24"/>
          <w:szCs w:val="24"/>
        </w:rPr>
        <w:t xml:space="preserve">Risk R-04 — Unauthenticated CSRF (Cross-Site Request Forgery)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HIGH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Environment: Metasploitable (192.168.100.193)  |  Likelihood: Medium  |  Severity: High</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web application hosted on the Metasploitable instance lacks CSRF token validation. This allows an attacker to craft malicious requests that are executed in the context of an authenticated user's session, potentially performing unauthorized state-changing actions (e.g., password changes, data deletion, account takeover).</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Unauthorized actions executed under a legitimate user's identity</w:t>
            </w:r>
          </w:p>
          <w:p>
            <w:pPr>
              <w:pStyle w:val="ListParagraph"/>
              <w:numPr>
                <w:ilvl w:val="0"/>
                <w:numId w:val="2"/>
              </w:numPr>
            </w:pPr>
            <w:r>
              <w:rPr>
                <w:rFonts w:ascii="Arial" w:cs="Arial" w:eastAsia="Arial" w:hAnsi="Arial"/>
                <w:sz w:val="19"/>
                <w:szCs w:val="19"/>
              </w:rPr>
              <w:t xml:space="preserve">Potential account compromise and privilege escalation</w:t>
            </w:r>
          </w:p>
          <w:p>
            <w:pPr>
              <w:pStyle w:val="ListParagraph"/>
              <w:numPr>
                <w:ilvl w:val="0"/>
                <w:numId w:val="2"/>
              </w:numPr>
            </w:pPr>
            <w:r>
              <w:rPr>
                <w:rFonts w:ascii="Arial" w:cs="Arial" w:eastAsia="Arial" w:hAnsi="Arial"/>
                <w:sz w:val="19"/>
                <w:szCs w:val="19"/>
              </w:rPr>
              <w:t xml:space="preserve">Data integrity violations and unauthorized configuration changes</w:t>
            </w:r>
          </w:p>
        </w:tc>
      </w:tr>
    </w:tbl>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5. Risk Register</w:t>
      </w:r>
    </w:p>
    <w:p>
      <w:pPr>
        <w:spacing w:after="80" w:before="60"/>
      </w:pPr>
      <w:r>
        <w:rPr>
          <w:rFonts w:ascii="Arial" w:cs="Arial" w:eastAsia="Arial" w:hAnsi="Arial"/>
          <w:sz w:val="20"/>
          <w:szCs w:val="20"/>
        </w:rPr>
        <w:t xml:space="preserve">The table below consolidates all identified risks into a formal risk register with current treatment status.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100"/>
        <w:gridCol w:w="900"/>
        <w:gridCol w:w="900"/>
        <w:gridCol w:w="1300"/>
        <w:gridCol w:w="1100"/>
        <w:gridCol w:w="106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Risk ID</w:t>
            </w:r>
          </w:p>
        </w:tc>
        <w:tc>
          <w:tcPr>
            <w:tcW w:type="dxa" w:w="21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Risk Name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Likelihood</w:t>
            </w:r>
          </w:p>
        </w:tc>
        <w:tc>
          <w:tcPr>
            <w:tcW w:type="dxa" w:w="9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Severity</w:t>
            </w:r>
          </w:p>
        </w:tc>
        <w:tc>
          <w:tcPr>
            <w:tcW w:type="dxa" w:w="9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Rating</w:t>
            </w:r>
          </w:p>
        </w:tc>
        <w:tc>
          <w:tcPr>
            <w:tcW w:type="dxa" w:w="13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Treatment</w:t>
            </w:r>
          </w:p>
        </w:tc>
        <w:tc>
          <w:tcPr>
            <w:tcW w:type="dxa" w:w="11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10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Status</w:t>
            </w:r>
          </w:p>
        </w:tc>
      </w:tr>
      <w:tr>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7"/>
                <w:szCs w:val="17"/>
              </w:rPr>
              <w:t xml:space="preserve">R-01</w:t>
            </w:r>
          </w:p>
        </w:tc>
        <w:tc>
          <w:tcPr>
            <w:tcW w:type="dxa" w:w="2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Outdated / Unpatched Software</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High</w:t>
            </w:r>
          </w:p>
        </w:tc>
        <w:tc>
          <w:tcPr>
            <w:tcW w:type="dxa" w:w="9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Critical</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Mitigate</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IT Ops</w:t>
            </w:r>
          </w:p>
        </w:tc>
        <w:tc>
          <w:tcPr>
            <w:tcW w:type="dxa" w:w="1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In Progress</w:t>
            </w:r>
          </w:p>
        </w:tc>
      </w:tr>
      <w:tr>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val="false"/>
                <w:bCs w:val="false"/>
                <w:sz w:val="17"/>
                <w:szCs w:val="17"/>
              </w:rPr>
              <w:t xml:space="preserve">R-02</w:t>
            </w:r>
          </w:p>
        </w:tc>
        <w:tc>
          <w:tcPr>
            <w:tcW w:type="dxa" w:w="2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Lack of Network Monitoring</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Med-High</w:t>
            </w:r>
          </w:p>
        </w:tc>
        <w:tc>
          <w:tcPr>
            <w:tcW w:type="dxa" w:w="9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Critical</w:t>
            </w:r>
          </w:p>
        </w:tc>
        <w:tc>
          <w:tcPr>
            <w:tcW w:type="dxa" w:w="9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Mitigate</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Security Team</w:t>
            </w:r>
          </w:p>
        </w:tc>
        <w:tc>
          <w:tcPr>
            <w:tcW w:type="dxa" w:w="1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In Progress</w:t>
            </w:r>
          </w:p>
        </w:tc>
      </w:tr>
      <w:tr>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val="false"/>
                <w:bCs w:val="false"/>
                <w:sz w:val="17"/>
                <w:szCs w:val="17"/>
              </w:rPr>
              <w:t xml:space="preserve">R-03</w:t>
            </w:r>
          </w:p>
        </w:tc>
        <w:tc>
          <w:tcPr>
            <w:tcW w:type="dxa" w:w="2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Slowloris DoS (CVE-2007-6750)</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Medium</w:t>
            </w:r>
          </w:p>
        </w:tc>
        <w:tc>
          <w:tcPr>
            <w:tcW w:type="dxa" w:w="9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High</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sz w:val="17"/>
                <w:szCs w:val="17"/>
              </w:rPr>
              <w:t xml:space="preserve">HIGH</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Mitigate</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IT Ops / DevOps</w:t>
            </w:r>
          </w:p>
        </w:tc>
        <w:tc>
          <w:tcPr>
            <w:tcW w:type="dxa" w:w="1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In Progress</w:t>
            </w:r>
          </w:p>
        </w:tc>
      </w:tr>
      <w:tr>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val="false"/>
                <w:bCs w:val="false"/>
                <w:sz w:val="17"/>
                <w:szCs w:val="17"/>
              </w:rPr>
              <w:t xml:space="preserve">R-04</w:t>
            </w:r>
          </w:p>
        </w:tc>
        <w:tc>
          <w:tcPr>
            <w:tcW w:type="dxa" w:w="2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Unauthenticated CSRF</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Medium</w:t>
            </w:r>
          </w:p>
        </w:tc>
        <w:tc>
          <w:tcPr>
            <w:tcW w:type="dxa" w:w="9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High</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tcPr>
          <w:p>
            <w:r>
              <w:rPr>
                <w:rFonts w:ascii="Arial" w:cs="Arial" w:eastAsia="Arial" w:hAnsi="Arial"/>
                <w:b/>
                <w:bCs/>
                <w:sz w:val="17"/>
                <w:szCs w:val="17"/>
              </w:rPr>
              <w:t xml:space="preserve">HIGH</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Mitigate</w:t>
            </w:r>
          </w:p>
        </w:tc>
        <w:tc>
          <w:tcPr>
            <w:tcW w:type="dxa" w:w="11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Dev Team</w:t>
            </w:r>
          </w:p>
        </w:tc>
        <w:tc>
          <w:tcPr>
            <w:tcW w:type="dxa" w:w="1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b w:val="false"/>
                <w:bCs w:val="false"/>
                <w:sz w:val="17"/>
                <w:szCs w:val="17"/>
              </w:rPr>
              <w:t xml:space="preserve">Planned</w:t>
            </w:r>
          </w:p>
        </w:tc>
      </w:tr>
    </w:tbl>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6. Risk Treatment Recommendations</w:t>
      </w:r>
    </w:p>
    <w:p>
      <w:pPr>
        <w:pStyle w:val="Heading2"/>
        <w:spacing w:after="80" w:before="240"/>
      </w:pPr>
      <w:r>
        <w:rPr>
          <w:rFonts w:ascii="Arial" w:cs="Arial" w:eastAsia="Arial" w:hAnsi="Arial"/>
          <w:b/>
          <w:bCs/>
          <w:color w:val="1B3A6B"/>
          <w:sz w:val="24"/>
          <w:szCs w:val="24"/>
        </w:rPr>
        <w:t xml:space="preserve">6.1 R-01 — Outdated / Unpatched Software</w:t>
      </w:r>
    </w:p>
    <w:p>
      <w:pPr>
        <w:spacing w:after="60" w:before="160"/>
      </w:pPr>
      <w:r>
        <w:rPr>
          <w:rFonts w:ascii="Arial" w:cs="Arial" w:eastAsia="Arial" w:hAnsi="Arial"/>
          <w:b/>
          <w:bCs/>
          <w:color w:val="2C3E50"/>
          <w:sz w:val="22"/>
          <w:szCs w:val="22"/>
        </w:rPr>
        <w:t xml:space="preserve">Treatment Strategy: Mitigate</w:t>
      </w:r>
    </w:p>
    <w:p>
      <w:pPr>
        <w:spacing w:after="80" w:before="60"/>
      </w:pPr>
      <w:r>
        <w:rPr>
          <w:rFonts w:ascii="Arial" w:cs="Arial" w:eastAsia="Arial" w:hAnsi="Arial"/>
          <w:sz w:val="20"/>
          <w:szCs w:val="20"/>
        </w:rPr>
        <w:t xml:space="preserve">The goal is to reduce the likelihood and severity of exploitation by ensuring all software remains patched and up to date. This does not require open ports to be effective — it addresses the root cause of local exploitability.</w:t>
      </w:r>
    </w:p>
    <w:p>
      <w:pPr>
        <w:spacing w:after="0" w:before="60"/>
      </w:pPr>
    </w:p>
    <w:p>
      <w:pPr>
        <w:spacing w:after="80" w:before="60"/>
      </w:pPr>
      <w:r>
        <w:rPr>
          <w:rFonts w:ascii="Arial" w:cs="Arial" w:eastAsia="Arial" w:hAnsi="Arial"/>
          <w:b/>
          <w:bCs/>
          <w:sz w:val="20"/>
          <w:szCs w:val="20"/>
        </w:rPr>
        <w:t xml:space="preserve">Recommended Actions:</w:t>
      </w:r>
    </w:p>
    <w:p>
      <w:pPr>
        <w:pStyle w:val="ListParagraph"/>
        <w:numPr>
          <w:ilvl w:val="0"/>
          <w:numId w:val="3"/>
        </w:numPr>
        <w:spacing w:after="40" w:before="40"/>
      </w:pPr>
      <w:r>
        <w:rPr>
          <w:rFonts w:ascii="Arial" w:cs="Arial" w:eastAsia="Arial" w:hAnsi="Arial"/>
          <w:sz w:val="20"/>
          <w:szCs w:val="20"/>
        </w:rPr>
        <w:t xml:space="preserve">Audit current software versions on the system (OS kernel, installed packages, interpreters).</w:t>
      </w:r>
    </w:p>
    <w:p>
      <w:pPr>
        <w:pStyle w:val="ListParagraph"/>
        <w:numPr>
          <w:ilvl w:val="0"/>
          <w:numId w:val="3"/>
        </w:numPr>
        <w:spacing w:after="40" w:before="40"/>
      </w:pPr>
      <w:r>
        <w:rPr>
          <w:rFonts w:ascii="Arial" w:cs="Arial" w:eastAsia="Arial" w:hAnsi="Arial"/>
          <w:sz w:val="20"/>
          <w:szCs w:val="20"/>
        </w:rPr>
        <w:t xml:space="preserve">Cross-reference installed versions against known CVE databases (NVD, Debian Security Advisories).</w:t>
      </w:r>
    </w:p>
    <w:p>
      <w:pPr>
        <w:pStyle w:val="ListParagraph"/>
        <w:numPr>
          <w:ilvl w:val="0"/>
          <w:numId w:val="3"/>
        </w:numPr>
        <w:spacing w:after="40" w:before="40"/>
      </w:pPr>
      <w:r>
        <w:rPr>
          <w:rFonts w:ascii="Arial" w:cs="Arial" w:eastAsia="Arial" w:hAnsi="Arial"/>
          <w:sz w:val="20"/>
          <w:szCs w:val="20"/>
        </w:rPr>
        <w:t xml:space="preserve">Apply all critical and high-severity patches immediately upon release.</w:t>
      </w:r>
    </w:p>
    <w:p>
      <w:pPr>
        <w:pStyle w:val="ListParagraph"/>
        <w:numPr>
          <w:ilvl w:val="0"/>
          <w:numId w:val="3"/>
        </w:numPr>
        <w:spacing w:after="40" w:before="40"/>
      </w:pPr>
      <w:r>
        <w:rPr>
          <w:rFonts w:ascii="Arial" w:cs="Arial" w:eastAsia="Arial" w:hAnsi="Arial"/>
          <w:sz w:val="20"/>
          <w:szCs w:val="20"/>
        </w:rPr>
        <w:t xml:space="preserve">Implement an automated patch management system (e.g., unattended-upgrades on Debian/Ubuntu).</w:t>
      </w:r>
    </w:p>
    <w:p>
      <w:pPr>
        <w:pStyle w:val="ListParagraph"/>
        <w:numPr>
          <w:ilvl w:val="0"/>
          <w:numId w:val="3"/>
        </w:numPr>
        <w:spacing w:after="40" w:before="40"/>
      </w:pPr>
      <w:r>
        <w:rPr>
          <w:rFonts w:ascii="Arial" w:cs="Arial" w:eastAsia="Arial" w:hAnsi="Arial"/>
          <w:sz w:val="20"/>
          <w:szCs w:val="20"/>
        </w:rPr>
        <w:t xml:space="preserve">Schedule a monthly patch review cycle with documented sign-off.</w:t>
      </w:r>
    </w:p>
    <w:p>
      <w:pPr>
        <w:pStyle w:val="ListParagraph"/>
        <w:numPr>
          <w:ilvl w:val="0"/>
          <w:numId w:val="3"/>
        </w:numPr>
        <w:spacing w:after="40" w:before="40"/>
      </w:pPr>
      <w:r>
        <w:rPr>
          <w:rFonts w:ascii="Arial" w:cs="Arial" w:eastAsia="Arial" w:hAnsi="Arial"/>
          <w:sz w:val="20"/>
          <w:szCs w:val="20"/>
        </w:rPr>
        <w:t xml:space="preserve">Maintain a software inventory register to track versions and end-of-life dates.</w:t>
      </w:r>
    </w:p>
    <w:p>
      <w:pPr>
        <w:spacing w:after="0" w:before="120"/>
      </w:pPr>
    </w:p>
    <w:p>
      <w:pPr>
        <w:pStyle w:val="Heading2"/>
        <w:spacing w:after="80" w:before="240"/>
      </w:pPr>
      <w:r>
        <w:rPr>
          <w:rFonts w:ascii="Arial" w:cs="Arial" w:eastAsia="Arial" w:hAnsi="Arial"/>
          <w:b/>
          <w:bCs/>
          <w:color w:val="1B3A6B"/>
          <w:sz w:val="24"/>
          <w:szCs w:val="24"/>
        </w:rPr>
        <w:t xml:space="preserve">6.2 R-02 — Lack of Network Monitoring</w:t>
      </w:r>
    </w:p>
    <w:p>
      <w:pPr>
        <w:spacing w:after="60" w:before="160"/>
      </w:pPr>
      <w:r>
        <w:rPr>
          <w:rFonts w:ascii="Arial" w:cs="Arial" w:eastAsia="Arial" w:hAnsi="Arial"/>
          <w:b/>
          <w:bCs/>
          <w:color w:val="2C3E50"/>
          <w:sz w:val="22"/>
          <w:szCs w:val="22"/>
        </w:rPr>
        <w:t xml:space="preserve">Treatment Strategy: Mitigate</w:t>
      </w:r>
    </w:p>
    <w:p>
      <w:pPr>
        <w:spacing w:after="80" w:before="60"/>
      </w:pPr>
      <w:r>
        <w:rPr>
          <w:rFonts w:ascii="Arial" w:cs="Arial" w:eastAsia="Arial" w:hAnsi="Arial"/>
          <w:sz w:val="20"/>
          <w:szCs w:val="20"/>
        </w:rPr>
        <w:t xml:space="preserve">A proactive monitoring cadence converts a reactive security posture into a continuous, detective control. This directly addresses the gap identified in the scan results.</w:t>
      </w:r>
    </w:p>
    <w:p>
      <w:pPr>
        <w:spacing w:after="0" w:before="60"/>
      </w:pPr>
    </w:p>
    <w:p>
      <w:pPr>
        <w:spacing w:after="80" w:before="60"/>
      </w:pPr>
      <w:r>
        <w:rPr>
          <w:rFonts w:ascii="Arial" w:cs="Arial" w:eastAsia="Arial" w:hAnsi="Arial"/>
          <w:b/>
          <w:bCs/>
          <w:sz w:val="20"/>
          <w:szCs w:val="20"/>
        </w:rPr>
        <w:t xml:space="preserve">Recommended Actions:</w:t>
      </w:r>
    </w:p>
    <w:p>
      <w:pPr>
        <w:pStyle w:val="ListParagraph"/>
        <w:numPr>
          <w:ilvl w:val="0"/>
          <w:numId w:val="3"/>
        </w:numPr>
        <w:spacing w:after="40" w:before="40"/>
      </w:pPr>
      <w:r>
        <w:rPr>
          <w:rFonts w:ascii="Arial" w:cs="Arial" w:eastAsia="Arial" w:hAnsi="Arial"/>
          <w:sz w:val="20"/>
          <w:szCs w:val="20"/>
        </w:rPr>
        <w:t xml:space="preserve">Schedule weekly automated Nmap quick-scans on the local machine.</w:t>
      </w:r>
    </w:p>
    <w:p>
      <w:pPr>
        <w:pStyle w:val="ListParagraph"/>
        <w:numPr>
          <w:ilvl w:val="0"/>
          <w:numId w:val="3"/>
        </w:numPr>
        <w:spacing w:after="40" w:before="40"/>
      </w:pPr>
      <w:r>
        <w:rPr>
          <w:rFonts w:ascii="Arial" w:cs="Arial" w:eastAsia="Arial" w:hAnsi="Arial"/>
          <w:sz w:val="20"/>
          <w:szCs w:val="20"/>
        </w:rPr>
        <w:t xml:space="preserve">Deploy a host-based intrusion detection system (HIDS) such as OSSEC or Wazuh.</w:t>
      </w:r>
    </w:p>
    <w:p>
      <w:pPr>
        <w:pStyle w:val="ListParagraph"/>
        <w:numPr>
          <w:ilvl w:val="0"/>
          <w:numId w:val="3"/>
        </w:numPr>
        <w:spacing w:after="40" w:before="40"/>
      </w:pPr>
      <w:r>
        <w:rPr>
          <w:rFonts w:ascii="Arial" w:cs="Arial" w:eastAsia="Arial" w:hAnsi="Arial"/>
          <w:sz w:val="20"/>
          <w:szCs w:val="20"/>
        </w:rPr>
        <w:t xml:space="preserve">Enable system logging (syslog/journald) and route logs to a centralized log management platform.</w:t>
      </w:r>
    </w:p>
    <w:p>
      <w:pPr>
        <w:pStyle w:val="ListParagraph"/>
        <w:numPr>
          <w:ilvl w:val="0"/>
          <w:numId w:val="3"/>
        </w:numPr>
        <w:spacing w:after="40" w:before="40"/>
      </w:pPr>
      <w:r>
        <w:rPr>
          <w:rFonts w:ascii="Arial" w:cs="Arial" w:eastAsia="Arial" w:hAnsi="Arial"/>
          <w:sz w:val="20"/>
          <w:szCs w:val="20"/>
        </w:rPr>
        <w:t xml:space="preserve">Configure alerts for any new port openings or service state changes.</w:t>
      </w:r>
    </w:p>
    <w:p>
      <w:pPr>
        <w:pStyle w:val="ListParagraph"/>
        <w:numPr>
          <w:ilvl w:val="0"/>
          <w:numId w:val="3"/>
        </w:numPr>
        <w:spacing w:after="40" w:before="40"/>
      </w:pPr>
      <w:r>
        <w:rPr>
          <w:rFonts w:ascii="Arial" w:cs="Arial" w:eastAsia="Arial" w:hAnsi="Arial"/>
          <w:sz w:val="20"/>
          <w:szCs w:val="20"/>
        </w:rPr>
        <w:t xml:space="preserve">Conduct monthly full vulnerability assessments and review logs for anomalies.</w:t>
      </w:r>
    </w:p>
    <w:p>
      <w:pPr>
        <w:spacing w:after="0" w:before="120"/>
      </w:pPr>
    </w:p>
    <w:p>
      <w:pPr>
        <w:pStyle w:val="Heading2"/>
        <w:spacing w:after="80" w:before="240"/>
      </w:pPr>
      <w:r>
        <w:rPr>
          <w:rFonts w:ascii="Arial" w:cs="Arial" w:eastAsia="Arial" w:hAnsi="Arial"/>
          <w:b/>
          <w:bCs/>
          <w:color w:val="1B3A6B"/>
          <w:sz w:val="24"/>
          <w:szCs w:val="24"/>
        </w:rPr>
        <w:t xml:space="preserve">6.3 R-03 — Slowloris DoS (CVE-2007-6750)</w:t>
      </w:r>
    </w:p>
    <w:p>
      <w:pPr>
        <w:spacing w:after="60" w:before="160"/>
      </w:pPr>
      <w:r>
        <w:rPr>
          <w:rFonts w:ascii="Arial" w:cs="Arial" w:eastAsia="Arial" w:hAnsi="Arial"/>
          <w:b/>
          <w:bCs/>
          <w:color w:val="2C3E50"/>
          <w:sz w:val="22"/>
          <w:szCs w:val="22"/>
        </w:rPr>
        <w:t xml:space="preserve">Treatment Strategy: Mitigate</w:t>
      </w:r>
    </w:p>
    <w:p>
      <w:pPr>
        <w:spacing w:after="80" w:before="60"/>
      </w:pPr>
      <w:r>
        <w:rPr>
          <w:rFonts w:ascii="Arial" w:cs="Arial" w:eastAsia="Arial" w:hAnsi="Arial"/>
          <w:sz w:val="20"/>
          <w:szCs w:val="20"/>
        </w:rPr>
        <w:t xml:space="preserve">The Slowloris vulnerability is well-documented and has established countermeasures. Mitigation focuses on limiting attacker throughput at the connection and server level.</w:t>
      </w:r>
    </w:p>
    <w:p>
      <w:pPr>
        <w:spacing w:after="0" w:before="60"/>
      </w:pPr>
    </w:p>
    <w:p>
      <w:pPr>
        <w:spacing w:after="80" w:before="60"/>
      </w:pPr>
      <w:r>
        <w:rPr>
          <w:rFonts w:ascii="Arial" w:cs="Arial" w:eastAsia="Arial" w:hAnsi="Arial"/>
          <w:b/>
          <w:bCs/>
          <w:sz w:val="20"/>
          <w:szCs w:val="20"/>
        </w:rPr>
        <w:t xml:space="preserve">Recommended Actions:</w:t>
      </w:r>
    </w:p>
    <w:p>
      <w:pPr>
        <w:pStyle w:val="ListParagraph"/>
        <w:numPr>
          <w:ilvl w:val="0"/>
          <w:numId w:val="3"/>
        </w:numPr>
        <w:spacing w:after="40" w:before="40"/>
      </w:pPr>
      <w:r>
        <w:rPr>
          <w:rFonts w:ascii="Arial" w:cs="Arial" w:eastAsia="Arial" w:hAnsi="Arial"/>
          <w:sz w:val="20"/>
          <w:szCs w:val="20"/>
        </w:rPr>
        <w:t xml:space="preserve">Update the Jetty web server to a version that has patched CVE-2007-6750.</w:t>
      </w:r>
    </w:p>
    <w:p>
      <w:pPr>
        <w:pStyle w:val="ListParagraph"/>
        <w:numPr>
          <w:ilvl w:val="0"/>
          <w:numId w:val="3"/>
        </w:numPr>
        <w:spacing w:after="40" w:before="40"/>
      </w:pPr>
      <w:r>
        <w:rPr>
          <w:rFonts w:ascii="Arial" w:cs="Arial" w:eastAsia="Arial" w:hAnsi="Arial"/>
          <w:sz w:val="20"/>
          <w:szCs w:val="20"/>
        </w:rPr>
        <w:t xml:space="preserve">Configure connection timeouts and maximum simultaneous connection limits per IP at the server level.</w:t>
      </w:r>
    </w:p>
    <w:p>
      <w:pPr>
        <w:pStyle w:val="ListParagraph"/>
        <w:numPr>
          <w:ilvl w:val="0"/>
          <w:numId w:val="3"/>
        </w:numPr>
        <w:spacing w:after="40" w:before="40"/>
      </w:pPr>
      <w:r>
        <w:rPr>
          <w:rFonts w:ascii="Arial" w:cs="Arial" w:eastAsia="Arial" w:hAnsi="Arial"/>
          <w:sz w:val="20"/>
          <w:szCs w:val="20"/>
        </w:rPr>
        <w:t xml:space="preserve">Deploy a Web Application Firewall (WAF) with rate-limiting rules for HTTP connections.</w:t>
      </w:r>
    </w:p>
    <w:p>
      <w:pPr>
        <w:pStyle w:val="ListParagraph"/>
        <w:numPr>
          <w:ilvl w:val="0"/>
          <w:numId w:val="3"/>
        </w:numPr>
        <w:spacing w:after="40" w:before="40"/>
      </w:pPr>
      <w:r>
        <w:rPr>
          <w:rFonts w:ascii="Arial" w:cs="Arial" w:eastAsia="Arial" w:hAnsi="Arial"/>
          <w:sz w:val="20"/>
          <w:szCs w:val="20"/>
        </w:rPr>
        <w:t xml:space="preserve">Enable network-level DDoS protection (e.g., firewall rules, upstream rate limiting).</w:t>
      </w:r>
    </w:p>
    <w:p>
      <w:pPr>
        <w:pStyle w:val="ListParagraph"/>
        <w:numPr>
          <w:ilvl w:val="0"/>
          <w:numId w:val="3"/>
        </w:numPr>
        <w:spacing w:after="40" w:before="40"/>
      </w:pPr>
      <w:r>
        <w:rPr>
          <w:rFonts w:ascii="Arial" w:cs="Arial" w:eastAsia="Arial" w:hAnsi="Arial"/>
          <w:sz w:val="20"/>
          <w:szCs w:val="20"/>
        </w:rPr>
        <w:t xml:space="preserve">Test the fix using tools like slowhttptest to verify mitigation effectiveness.</w:t>
      </w:r>
    </w:p>
    <w:p>
      <w:pPr>
        <w:spacing w:after="0" w:before="120"/>
      </w:pPr>
    </w:p>
    <w:p>
      <w:pPr>
        <w:pStyle w:val="Heading2"/>
        <w:spacing w:after="80" w:before="240"/>
      </w:pPr>
      <w:r>
        <w:rPr>
          <w:rFonts w:ascii="Arial" w:cs="Arial" w:eastAsia="Arial" w:hAnsi="Arial"/>
          <w:b/>
          <w:bCs/>
          <w:color w:val="1B3A6B"/>
          <w:sz w:val="24"/>
          <w:szCs w:val="24"/>
        </w:rPr>
        <w:t xml:space="preserve">6.4 R-04 — Unauthenticated CSRF</w:t>
      </w:r>
    </w:p>
    <w:p>
      <w:pPr>
        <w:spacing w:after="60" w:before="160"/>
      </w:pPr>
      <w:r>
        <w:rPr>
          <w:rFonts w:ascii="Arial" w:cs="Arial" w:eastAsia="Arial" w:hAnsi="Arial"/>
          <w:b/>
          <w:bCs/>
          <w:color w:val="2C3E50"/>
          <w:sz w:val="22"/>
          <w:szCs w:val="22"/>
        </w:rPr>
        <w:t xml:space="preserve">Treatment Strategy: Mitigate</w:t>
      </w:r>
    </w:p>
    <w:p>
      <w:pPr>
        <w:spacing w:after="80" w:before="60"/>
      </w:pPr>
      <w:r>
        <w:rPr>
          <w:rFonts w:ascii="Arial" w:cs="Arial" w:eastAsia="Arial" w:hAnsi="Arial"/>
          <w:sz w:val="20"/>
          <w:szCs w:val="20"/>
        </w:rPr>
        <w:t xml:space="preserve">CSRF is a well-understood OWASP Top 10 vulnerability class with established, low-cost remediation. Implementation should be prioritized in any application exposed to authenticated users.</w:t>
      </w:r>
    </w:p>
    <w:p>
      <w:pPr>
        <w:spacing w:after="0" w:before="60"/>
      </w:pPr>
    </w:p>
    <w:p>
      <w:pPr>
        <w:spacing w:after="80" w:before="60"/>
      </w:pPr>
      <w:r>
        <w:rPr>
          <w:rFonts w:ascii="Arial" w:cs="Arial" w:eastAsia="Arial" w:hAnsi="Arial"/>
          <w:b/>
          <w:bCs/>
          <w:sz w:val="20"/>
          <w:szCs w:val="20"/>
        </w:rPr>
        <w:t xml:space="preserve">Recommended Actions:</w:t>
      </w:r>
    </w:p>
    <w:p>
      <w:pPr>
        <w:pStyle w:val="ListParagraph"/>
        <w:numPr>
          <w:ilvl w:val="0"/>
          <w:numId w:val="3"/>
        </w:numPr>
        <w:spacing w:after="40" w:before="40"/>
      </w:pPr>
      <w:r>
        <w:rPr>
          <w:rFonts w:ascii="Arial" w:cs="Arial" w:eastAsia="Arial" w:hAnsi="Arial"/>
          <w:sz w:val="20"/>
          <w:szCs w:val="20"/>
        </w:rPr>
        <w:t xml:space="preserve">Implement server-side CSRF token generation and validation on all state-changing endpoints (POST, PUT, DELETE).</w:t>
      </w:r>
    </w:p>
    <w:p>
      <w:pPr>
        <w:pStyle w:val="ListParagraph"/>
        <w:numPr>
          <w:ilvl w:val="0"/>
          <w:numId w:val="3"/>
        </w:numPr>
        <w:spacing w:after="40" w:before="40"/>
      </w:pPr>
      <w:r>
        <w:rPr>
          <w:rFonts w:ascii="Arial" w:cs="Arial" w:eastAsia="Arial" w:hAnsi="Arial"/>
          <w:sz w:val="20"/>
          <w:szCs w:val="20"/>
        </w:rPr>
        <w:t xml:space="preserve">Set the SameSite=Strict attribute on all session cookies to prevent cross-origin cookie inclusion.</w:t>
      </w:r>
    </w:p>
    <w:p>
      <w:pPr>
        <w:pStyle w:val="ListParagraph"/>
        <w:numPr>
          <w:ilvl w:val="0"/>
          <w:numId w:val="3"/>
        </w:numPr>
        <w:spacing w:after="40" w:before="40"/>
      </w:pPr>
      <w:r>
        <w:rPr>
          <w:rFonts w:ascii="Arial" w:cs="Arial" w:eastAsia="Arial" w:hAnsi="Arial"/>
          <w:sz w:val="20"/>
          <w:szCs w:val="20"/>
        </w:rPr>
        <w:t xml:space="preserve">Validate the Origin and Referer headers on the server side to detect cross-origin requests.</w:t>
      </w:r>
    </w:p>
    <w:p>
      <w:pPr>
        <w:pStyle w:val="ListParagraph"/>
        <w:numPr>
          <w:ilvl w:val="0"/>
          <w:numId w:val="3"/>
        </w:numPr>
        <w:spacing w:after="40" w:before="40"/>
      </w:pPr>
      <w:r>
        <w:rPr>
          <w:rFonts w:ascii="Arial" w:cs="Arial" w:eastAsia="Arial" w:hAnsi="Arial"/>
          <w:sz w:val="20"/>
          <w:szCs w:val="20"/>
        </w:rPr>
        <w:t xml:space="preserve">Conduct a code review of all form submissions and AJAX calls to confirm token enforcement.</w:t>
      </w:r>
    </w:p>
    <w:p>
      <w:pPr>
        <w:pStyle w:val="ListParagraph"/>
        <w:numPr>
          <w:ilvl w:val="0"/>
          <w:numId w:val="3"/>
        </w:numPr>
        <w:spacing w:after="40" w:before="40"/>
      </w:pPr>
      <w:r>
        <w:rPr>
          <w:rFonts w:ascii="Arial" w:cs="Arial" w:eastAsia="Arial" w:hAnsi="Arial"/>
          <w:sz w:val="20"/>
          <w:szCs w:val="20"/>
        </w:rPr>
        <w:t xml:space="preserve">Include CSRF testing in any future penetration test scope.</w:t>
      </w:r>
    </w:p>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7. Risk Monitoring Procedure</w:t>
      </w:r>
    </w:p>
    <w:p>
      <w:pPr>
        <w:pStyle w:val="Heading2"/>
        <w:spacing w:after="80" w:before="240"/>
      </w:pPr>
      <w:r>
        <w:rPr>
          <w:rFonts w:ascii="Arial" w:cs="Arial" w:eastAsia="Arial" w:hAnsi="Arial"/>
          <w:b/>
          <w:bCs/>
          <w:color w:val="1B3A6B"/>
          <w:sz w:val="24"/>
          <w:szCs w:val="24"/>
        </w:rPr>
        <w:t xml:space="preserve">Procedure Name: Continuous Risk Monitoring and Assessment</w:t>
      </w:r>
    </w:p>
    <w:p>
      <w:pPr>
        <w:spacing w:after="80" w:before="60"/>
      </w:pPr>
      <w:r>
        <w:rPr>
          <w:rFonts w:ascii="Arial" w:cs="Arial" w:eastAsia="Arial" w:hAnsi="Arial"/>
          <w:sz w:val="20"/>
          <w:szCs w:val="20"/>
        </w:rPr>
        <w:t xml:space="preserve">Objective: To continuously identify, track, and mitigate risks across all in-scope environments, ensuring that the organization's security posture remains proactive and documented.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20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Activity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Frequency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Responsible Party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Tool / Method</w:t>
            </w:r>
          </w:p>
        </w:tc>
        <w:tc>
          <w:tcPr>
            <w:tcW w:type="dxa" w:w="2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Vulnerability Scan (quick)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Weekly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IT Operations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Nmap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Scan report</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Full Vulnerability Assessment</w:t>
            </w:r>
          </w:p>
        </w:tc>
        <w:tc>
          <w:tcPr>
            <w:tcW w:type="dxa" w:w="1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Monthly</w:t>
            </w:r>
          </w:p>
        </w:tc>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Security Team</w:t>
            </w:r>
          </w:p>
        </w:tc>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Nmap + Nessus</w:t>
            </w:r>
          </w:p>
        </w:tc>
        <w:tc>
          <w:tcPr>
            <w:tcW w:type="dxa" w:w="2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Risk register update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Patch Verification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Weekly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IT Operations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OS Package Manager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Patch log</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Log Review</w:t>
            </w:r>
          </w:p>
        </w:tc>
        <w:tc>
          <w:tcPr>
            <w:tcW w:type="dxa" w:w="1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Daily</w:t>
            </w:r>
          </w:p>
        </w:tc>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Security Analyst</w:t>
            </w:r>
          </w:p>
        </w:tc>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SIEM / syslog</w:t>
            </w:r>
          </w:p>
        </w:tc>
        <w:tc>
          <w:tcPr>
            <w:tcW w:type="dxa" w:w="2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Incident tickets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WAF / IDS Rule Review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Monthly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Security Team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WAF Dashboard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Configuration report</w:t>
            </w:r>
          </w:p>
        </w:tc>
      </w:tr>
      <w:tr>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Risk Register Review</w:t>
            </w:r>
          </w:p>
        </w:tc>
        <w:tc>
          <w:tcPr>
            <w:tcW w:type="dxa" w:w="1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Quarterly</w:t>
            </w:r>
          </w:p>
        </w:tc>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CISO / Risk Lead</w:t>
            </w:r>
          </w:p>
        </w:tc>
        <w:tc>
          <w:tcPr>
            <w:tcW w:type="dxa" w:w="2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Internal</w:t>
            </w:r>
          </w:p>
        </w:tc>
        <w:tc>
          <w:tcPr>
            <w:tcW w:type="dxa" w:w="2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rPr>
                <w:rFonts w:ascii="Arial" w:cs="Arial" w:eastAsia="Arial" w:hAnsi="Arial"/>
                <w:sz w:val="17"/>
                <w:szCs w:val="17"/>
              </w:rPr>
              <w:t xml:space="preserve">Updated risk register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Security Report to Leadership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Monthly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CISO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Report template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Executive summary</w:t>
            </w:r>
          </w:p>
        </w:tc>
      </w:tr>
    </w:tbl>
    <w:p>
      <w:pPr>
        <w:spacing w:after="0" w:before="60"/>
      </w:pPr>
    </w:p>
    <w:p>
      <w:pPr>
        <w:pStyle w:val="Heading2"/>
        <w:spacing w:after="80" w:before="240"/>
      </w:pPr>
      <w:r>
        <w:rPr>
          <w:rFonts w:ascii="Arial" w:cs="Arial" w:eastAsia="Arial" w:hAnsi="Arial"/>
          <w:b/>
          <w:bCs/>
          <w:color w:val="1B3A6B"/>
          <w:sz w:val="24"/>
          <w:szCs w:val="24"/>
        </w:rPr>
        <w:t xml:space="preserve">7.1 Risk Register Maintenance</w:t>
      </w:r>
    </w:p>
    <w:p>
      <w:pPr>
        <w:spacing w:after="80" w:before="60"/>
      </w:pPr>
      <w:r>
        <w:rPr>
          <w:rFonts w:ascii="Arial" w:cs="Arial" w:eastAsia="Arial" w:hAnsi="Arial"/>
          <w:sz w:val="20"/>
          <w:szCs w:val="20"/>
        </w:rPr>
        <w:t xml:space="preserve">The risk register must be treated as a living document. The responsible risk owner is required to update the status field following each monitoring activity. All changes must include a date stamp and a brief notes entry.</w:t>
      </w:r>
    </w:p>
    <w:p>
      <w:pPr>
        <w:pStyle w:val="ListParagraph"/>
        <w:numPr>
          <w:ilvl w:val="0"/>
          <w:numId w:val="2"/>
        </w:numPr>
        <w:spacing w:after="40" w:before="40"/>
      </w:pPr>
      <w:r>
        <w:rPr>
          <w:rFonts w:ascii="Arial" w:cs="Arial" w:eastAsia="Arial" w:hAnsi="Arial"/>
          <w:sz w:val="20"/>
          <w:szCs w:val="20"/>
        </w:rPr>
        <w:t xml:space="preserve">New risks identified during scans must be added within 48 hours of detection.</w:t>
      </w:r>
    </w:p>
    <w:p>
      <w:pPr>
        <w:pStyle w:val="ListParagraph"/>
        <w:numPr>
          <w:ilvl w:val="0"/>
          <w:numId w:val="2"/>
        </w:numPr>
        <w:spacing w:after="40" w:before="40"/>
      </w:pPr>
      <w:r>
        <w:rPr>
          <w:rFonts w:ascii="Arial" w:cs="Arial" w:eastAsia="Arial" w:hAnsi="Arial"/>
          <w:sz w:val="20"/>
          <w:szCs w:val="20"/>
        </w:rPr>
        <w:t xml:space="preserve">Risks downgraded to Residual must have supporting evidence attached (e.g., patch confirmation, scan report).</w:t>
      </w:r>
    </w:p>
    <w:p>
      <w:pPr>
        <w:pStyle w:val="ListParagraph"/>
        <w:numPr>
          <w:ilvl w:val="0"/>
          <w:numId w:val="2"/>
        </w:numPr>
        <w:spacing w:after="40" w:before="40"/>
      </w:pPr>
      <w:r>
        <w:rPr>
          <w:rFonts w:ascii="Arial" w:cs="Arial" w:eastAsia="Arial" w:hAnsi="Arial"/>
          <w:sz w:val="20"/>
          <w:szCs w:val="20"/>
        </w:rPr>
        <w:t xml:space="preserve">Closed risks are archived but retained for audit purposes.</w:t>
      </w:r>
    </w:p>
    <w:p>
      <w:pPr>
        <w:spacing w:after="0" w:before="60"/>
      </w:pPr>
    </w:p>
    <w:p>
      <w:pPr>
        <w:pStyle w:val="Heading2"/>
        <w:spacing w:after="80" w:before="240"/>
      </w:pPr>
      <w:r>
        <w:rPr>
          <w:rFonts w:ascii="Arial" w:cs="Arial" w:eastAsia="Arial" w:hAnsi="Arial"/>
          <w:b/>
          <w:bCs/>
          <w:color w:val="1B3A6B"/>
          <w:sz w:val="24"/>
          <w:szCs w:val="24"/>
        </w:rPr>
        <w:t xml:space="preserve">7.2 Reporting Cadence</w:t>
      </w:r>
    </w:p>
    <w:p>
      <w:pPr>
        <w:spacing w:after="80" w:before="60"/>
      </w:pPr>
      <w:r>
        <w:rPr>
          <w:rFonts w:ascii="Arial" w:cs="Arial" w:eastAsia="Arial" w:hAnsi="Arial"/>
          <w:sz w:val="20"/>
          <w:szCs w:val="20"/>
        </w:rPr>
        <w:t xml:space="preserve">Monthly security reports will be generated and distributed to program leadership. Each report will include:</w:t>
      </w:r>
    </w:p>
    <w:p>
      <w:pPr>
        <w:pStyle w:val="ListParagraph"/>
        <w:numPr>
          <w:ilvl w:val="0"/>
          <w:numId w:val="2"/>
        </w:numPr>
        <w:spacing w:after="40" w:before="40"/>
      </w:pPr>
      <w:r>
        <w:rPr>
          <w:rFonts w:ascii="Arial" w:cs="Arial" w:eastAsia="Arial" w:hAnsi="Arial"/>
          <w:sz w:val="20"/>
          <w:szCs w:val="20"/>
        </w:rPr>
        <w:t xml:space="preserve">Summary of all open risks with current status</w:t>
      </w:r>
    </w:p>
    <w:p>
      <w:pPr>
        <w:pStyle w:val="ListParagraph"/>
        <w:numPr>
          <w:ilvl w:val="0"/>
          <w:numId w:val="2"/>
        </w:numPr>
        <w:spacing w:after="40" w:before="40"/>
      </w:pPr>
      <w:r>
        <w:rPr>
          <w:rFonts w:ascii="Arial" w:cs="Arial" w:eastAsia="Arial" w:hAnsi="Arial"/>
          <w:sz w:val="20"/>
          <w:szCs w:val="20"/>
        </w:rPr>
        <w:t xml:space="preserve">New vulnerabilities identified during the reporting period</w:t>
      </w:r>
    </w:p>
    <w:p>
      <w:pPr>
        <w:pStyle w:val="ListParagraph"/>
        <w:numPr>
          <w:ilvl w:val="0"/>
          <w:numId w:val="2"/>
        </w:numPr>
        <w:spacing w:after="40" w:before="40"/>
      </w:pPr>
      <w:r>
        <w:rPr>
          <w:rFonts w:ascii="Arial" w:cs="Arial" w:eastAsia="Arial" w:hAnsi="Arial"/>
          <w:sz w:val="20"/>
          <w:szCs w:val="20"/>
        </w:rPr>
        <w:t xml:space="preserve">Mitigation actions completed and their verified outcomes</w:t>
      </w:r>
    </w:p>
    <w:p>
      <w:pPr>
        <w:pStyle w:val="ListParagraph"/>
        <w:numPr>
          <w:ilvl w:val="0"/>
          <w:numId w:val="2"/>
        </w:numPr>
        <w:spacing w:after="40" w:before="40"/>
      </w:pPr>
      <w:r>
        <w:rPr>
          <w:rFonts w:ascii="Arial" w:cs="Arial" w:eastAsia="Arial" w:hAnsi="Arial"/>
          <w:sz w:val="20"/>
          <w:szCs w:val="20"/>
        </w:rPr>
        <w:t xml:space="preserve">Any incidents or near-misses detected through monitoring</w:t>
      </w:r>
    </w:p>
    <w:p>
      <w:pPr>
        <w:pStyle w:val="ListParagraph"/>
        <w:numPr>
          <w:ilvl w:val="0"/>
          <w:numId w:val="2"/>
        </w:numPr>
        <w:spacing w:after="40" w:before="40"/>
      </w:pPr>
      <w:r>
        <w:rPr>
          <w:rFonts w:ascii="Arial" w:cs="Arial" w:eastAsia="Arial" w:hAnsi="Arial"/>
          <w:sz w:val="20"/>
          <w:szCs w:val="20"/>
        </w:rPr>
        <w:t xml:space="preserve">Recommendations for the following period</w:t>
      </w:r>
    </w:p>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8. Justification of Decisions</w:t>
      </w:r>
    </w:p>
    <w:p>
      <w:pPr>
        <w:spacing w:after="80" w:before="60"/>
      </w:pPr>
      <w:r>
        <w:rPr>
          <w:rFonts w:ascii="Arial" w:cs="Arial" w:eastAsia="Arial" w:hAnsi="Arial"/>
          <w:sz w:val="20"/>
          <w:szCs w:val="20"/>
        </w:rPr>
        <w:t xml:space="preserve">The risks selected for this report were chosen based on their potential business impact, likelihood of exploitation, and alignment with real-world attack patterns observed in current threat intelligence.</w:t>
      </w:r>
    </w:p>
    <w:p>
      <w:pPr>
        <w:spacing w:after="0" w:before="60"/>
      </w:pPr>
    </w:p>
    <w:p>
      <w:pPr>
        <w:spacing w:after="80" w:before="60"/>
      </w:pPr>
      <w:r>
        <w:rPr>
          <w:rFonts w:ascii="Arial" w:cs="Arial" w:eastAsia="Arial" w:hAnsi="Arial"/>
          <w:sz w:val="20"/>
          <w:szCs w:val="20"/>
        </w:rPr>
        <w:t xml:space="preserve">R-01 and R-02 were prioritized as Critical despite the local machine showing no open ports, because the threat model must account for insider threats, physical access, and supply-chain attacks — none of which require external network exposure. A closed-port system with unpatched software is still fully vulnerable to a malicious actor with user-level access.</w:t>
      </w:r>
    </w:p>
    <w:p>
      <w:pPr>
        <w:spacing w:after="0" w:before="60"/>
      </w:pPr>
    </w:p>
    <w:p>
      <w:pPr>
        <w:spacing w:after="80" w:before="60"/>
      </w:pPr>
      <w:r>
        <w:rPr>
          <w:rFonts w:ascii="Arial" w:cs="Arial" w:eastAsia="Arial" w:hAnsi="Arial"/>
          <w:sz w:val="20"/>
          <w:szCs w:val="20"/>
        </w:rPr>
        <w:t xml:space="preserve">R-03 was selected because CVE-2007-6750 is a confirmed, published vulnerability with a CVSS score reflecting its availability impact. Denial of Service attacks are frequently underestimated in risk assessments but represent a significant business continuity risk in any production context.</w:t>
      </w:r>
    </w:p>
    <w:p>
      <w:pPr>
        <w:spacing w:after="0" w:before="60"/>
      </w:pPr>
    </w:p>
    <w:p>
      <w:pPr>
        <w:spacing w:after="80" w:before="60"/>
      </w:pPr>
      <w:r>
        <w:rPr>
          <w:rFonts w:ascii="Arial" w:cs="Arial" w:eastAsia="Arial" w:hAnsi="Arial"/>
          <w:sz w:val="20"/>
          <w:szCs w:val="20"/>
        </w:rPr>
        <w:t xml:space="preserve">R-04 was selected because CSRF is consistently listed in the OWASP Top 10 and represents a low-effort, high-impact attack vector. The absence of token validation on authenticated endpoints represents a fundamental application security gap.</w:t>
      </w:r>
    </w:p>
    <w:p>
      <w:pPr>
        <w:spacing w:after="0" w:before="60"/>
      </w:pPr>
    </w:p>
    <w:p>
      <w:pPr>
        <w:spacing w:after="80" w:before="60"/>
      </w:pPr>
      <w:r>
        <w:rPr>
          <w:rFonts w:ascii="Arial" w:cs="Arial" w:eastAsia="Arial" w:hAnsi="Arial"/>
          <w:sz w:val="20"/>
          <w:szCs w:val="20"/>
        </w:rPr>
        <w:t xml:space="preserve">Mitigation was chosen as the treatment strategy for all four risks because: (1) the risks are technically addressable without significant cost or disruption, (2) transfer (insurance/third-party) would not eliminate the technical exposure, and (3) acceptance would be inappropriate given the Critical/High ratings and the availability of known, effective countermeasures.</w:t>
      </w:r>
    </w:p>
    <w:p>
      <w:r>
        <w:br w:type="page"/>
      </w:r>
    </w:p>
    <w:p>
      <w:pPr>
        <w:pStyle w:val="Heading1"/>
        <w:pBdr>
          <w:bottom w:val="single" w:color="1B3A6B" w:sz="6" w:space="4"/>
        </w:pBdr>
        <w:spacing w:after="120" w:before="360"/>
      </w:pPr>
      <w:r>
        <w:rPr>
          <w:rFonts w:ascii="Arial" w:cs="Arial" w:eastAsia="Arial" w:hAnsi="Arial"/>
          <w:b/>
          <w:bCs/>
          <w:color w:val="1B3A6B"/>
          <w:sz w:val="28"/>
          <w:szCs w:val="28"/>
        </w:rPr>
        <w:t xml:space="preserve">9. Conclusion</w:t>
      </w:r>
    </w:p>
    <w:p>
      <w:pPr>
        <w:spacing w:after="80" w:before="60"/>
      </w:pPr>
      <w:r>
        <w:rPr>
          <w:rFonts w:ascii="Arial" w:cs="Arial" w:eastAsia="Arial" w:hAnsi="Arial"/>
          <w:sz w:val="20"/>
          <w:szCs w:val="20"/>
        </w:rPr>
        <w:t xml:space="preserve">This risk management report demonstrates a complete cycle of vulnerability identification, risk analysis, treatment planning, and monitoring procedure design across two distinct environments.</w:t>
      </w:r>
    </w:p>
    <w:p>
      <w:pPr>
        <w:spacing w:after="0" w:before="60"/>
      </w:pPr>
    </w:p>
    <w:p>
      <w:pPr>
        <w:spacing w:after="80" w:before="60"/>
      </w:pPr>
      <w:r>
        <w:rPr>
          <w:rFonts w:ascii="Arial" w:cs="Arial" w:eastAsia="Arial" w:hAnsi="Arial"/>
          <w:sz w:val="20"/>
          <w:szCs w:val="20"/>
        </w:rPr>
        <w:t xml:space="preserve">The local machine (127.0.0.1) presented a minimal external attack surface, with no open ports detected. However, two Critical risks were identified at the system level that do not require network exposure to be exploited. These risks underscore the importance of looking beyond port-scan results when assessing true security posture.</w:t>
      </w:r>
    </w:p>
    <w:p>
      <w:pPr>
        <w:spacing w:after="0" w:before="60"/>
      </w:pPr>
    </w:p>
    <w:p>
      <w:pPr>
        <w:spacing w:after="80" w:before="60"/>
      </w:pPr>
      <w:r>
        <w:rPr>
          <w:rFonts w:ascii="Arial" w:cs="Arial" w:eastAsia="Arial" w:hAnsi="Arial"/>
          <w:sz w:val="20"/>
          <w:szCs w:val="20"/>
        </w:rPr>
        <w:t xml:space="preserve">The Metasploitable lab environment (192.168.100.193) confirmed two High-severity application-layer vulnerabilities: a known DoS vulnerability (CVE-2007-6750) and a missing CSRF protection mechanism. Both have well-documented remediation paths and should be treated as priorities in any production equivalent.</w:t>
      </w:r>
    </w:p>
    <w:p>
      <w:pPr>
        <w:spacing w:after="0" w:before="60"/>
      </w:pPr>
    </w:p>
    <w:p>
      <w:pPr>
        <w:spacing w:after="80" w:before="60"/>
      </w:pPr>
      <w:r>
        <w:rPr>
          <w:rFonts w:ascii="Arial" w:cs="Arial" w:eastAsia="Arial" w:hAnsi="Arial"/>
          <w:sz w:val="20"/>
          <w:szCs w:val="20"/>
        </w:rPr>
        <w:t xml:space="preserve">All four identified risks have been assigned concrete mitigation strategies, ownership, and a continuous monitoring schedule. This framework ensures that risk posture is not treated as a one-time assessment but as an ongoing operational responsibility — consistent with industry best practices and the requirements of this assessment.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B3A6B"/>
                <w:sz w:val="20"/>
                <w:szCs w:val="20"/>
              </w:rPr>
              <w:t xml:space="preserve">Document Control</w:t>
            </w:r>
          </w:p>
          <w:p>
            <w:pPr>
              <w:spacing w:after="0" w:before="60"/>
            </w:pPr>
          </w:p>
          <w:p>
            <w:r>
              <w:rPr>
                <w:rFonts w:ascii="Arial" w:cs="Arial" w:eastAsia="Arial" w:hAnsi="Arial"/>
                <w:sz w:val="18"/>
                <w:szCs w:val="18"/>
              </w:rPr>
              <w:t xml:space="preserve">Version: 1.0  |  Status: Final  |  Date: April 2026</w:t>
            </w:r>
          </w:p>
          <w:p>
            <w:r>
              <w:rPr>
                <w:rFonts w:ascii="Arial" w:cs="Arial" w:eastAsia="Arial" w:hAnsi="Arial"/>
                <w:sz w:val="18"/>
                <w:szCs w:val="18"/>
              </w:rPr>
              <w:t xml:space="preserve">Author: DAE Cybersecurity Program  |  Classification: Confidential — Internal Use Only</w:t>
            </w:r>
          </w:p>
          <w:p>
            <w:r>
              <w:rPr>
                <w:rFonts w:ascii="Arial" w:cs="Arial" w:eastAsia="Arial" w:hAnsi="Arial"/>
                <w:i/>
                <w:iCs/>
                <w:color w:val="555555"/>
                <w:sz w:val="18"/>
                <w:szCs w:val="18"/>
              </w:rPr>
              <w:t xml:space="preserve">This document is produced for educational and program assessment purposes within the DAE Cybersecurity curriculum.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tabs>
        <w:tab w:val="right" w:pos="9026"/>
      </w:tabs>
      <w:spacing w:before="120"/>
    </w:pPr>
    <w:r>
      <w:rPr>
        <w:rFonts w:ascii="Arial" w:cs="Arial" w:eastAsia="Arial" w:hAnsi="Arial"/>
        <w:color w:val="666666"/>
        <w:sz w:val="16"/>
        <w:szCs w:val="16"/>
      </w:rPr>
      <w:t xml:space="preserve">DAE Cybersecurity Program  —  April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spacing w:after="120"/>
    </w:pPr>
    <w:r>
      <w:rPr>
        <w:rFonts w:ascii="Arial" w:cs="Arial" w:eastAsia="Arial" w:hAnsi="Arial"/>
        <w:color w:val="666666"/>
        <w:sz w:val="16"/>
        <w:szCs w:val="16"/>
      </w:rPr>
      <w:t xml:space="preserve">CONFIDENTIAL  |  Risk Management Report  |  Cybersecurity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2026-04-20T17:03:02.671Z</dcterms:created>
  <dcterms:modified xsi:type="dcterms:W3CDTF">2026-04-20T17:03:02.672Z</dcterms:modified>
</cp:coreProperties>
</file>

<file path=docProps/custom.xml><?xml version="1.0" encoding="utf-8"?>
<Properties xmlns="http://schemas.openxmlformats.org/officeDocument/2006/custom-properties" xmlns:vt="http://schemas.openxmlformats.org/officeDocument/2006/docPropsVTypes"/>
</file>