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6D28D9"/>
          <w:sz w:val="52"/>
          <w:szCs w:val="52"/>
        </w:rPr>
        <w:t xml:space="preserve">Trade Review Deep Agent</w:t>
      </w:r>
    </w:p>
    <w:p>
      <w:pPr>
        <w:spacing w:after="400"/>
        <w:jc w:val="center"/>
      </w:pPr>
      <w:r>
        <w:rPr>
          <w:color w:val="1F2937"/>
          <w:sz w:val="28"/>
          <w:szCs w:val="28"/>
        </w:rPr>
        <w:t xml:space="preserve">A Multi-Agent, Human-in-the-Loop System for Futures Trade Review and Compliance</w:t>
      </w:r>
    </w:p>
    <w:p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 xml:space="preserve">Project Details Document</w:t>
      </w:r>
    </w:p>
    <w:p>
      <w:pPr>
        <w:spacing w:after="1600"/>
        <w:jc w:val="center"/>
      </w:pPr>
      <w:r>
        <w:rPr>
          <w:color w:val="6B7280"/>
          <w:sz w:val="20"/>
          <w:szCs w:val="20"/>
        </w:rPr>
        <w:t xml:space="preserve">Use Case Definition  |  Implementation  |  Benefits  |  Value Add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TOC1"/>
            <w:tabs>
              <w:tab w:val="right" w:leader="dot" w:pos="9350"/>
            </w:tabs>
          </w:pPr>
          <w:hyperlink w:anchor="toc_1" w:history="true">
            <w:r>
              <w:rPr>
                <w:rStyle w:val="Hyperlink"/>
              </w:rPr>
              <w:t xml:space="preserve">1. Use Case Definition</w:t>
            </w:r>
            <w:r>
              <w:tab/>
            </w:r>
            <w:r>
              <w:fldChar w:fldCharType="begin"/>
              <w:instrText xml:space="preserve"> PAGEREF toc_1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" w:history="true">
            <w:r>
              <w:rPr>
                <w:rStyle w:val="Hyperlink"/>
              </w:rPr>
              <w:t xml:space="preserve">1.1 Problem Statement</w:t>
            </w:r>
            <w:r>
              <w:tab/>
            </w:r>
            <w:r>
              <w:fldChar w:fldCharType="begin"/>
              <w:instrText xml:space="preserve"> PAGEREF toc_2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3" w:history="true">
            <w:r>
              <w:rPr>
                <w:rStyle w:val="Hyperlink"/>
              </w:rPr>
              <w:t xml:space="preserve">1.2 One-Line Definition</w:t>
            </w:r>
            <w:r>
              <w:tab/>
            </w:r>
            <w:r>
              <w:fldChar w:fldCharType="begin"/>
              <w:instrText xml:space="preserve"> PAGEREF toc_3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4" w:history="true">
            <w:r>
              <w:rPr>
                <w:rStyle w:val="Hyperlink"/>
              </w:rPr>
              <w:t xml:space="preserve">1.3 Scope and Boundaries</w:t>
            </w:r>
            <w:r>
              <w:tab/>
            </w:r>
            <w:r>
              <w:fldChar w:fldCharType="begin"/>
              <w:instrText xml:space="preserve"> PAGEREF toc_4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5" w:history="true">
            <w:r>
              <w:rPr>
                <w:rStyle w:val="Hyperlink"/>
              </w:rPr>
              <w:t xml:space="preserve">1.4 Success Criterion</w:t>
            </w:r>
            <w:r>
              <w:tab/>
            </w:r>
            <w:r>
              <w:fldChar w:fldCharType="begin"/>
              <w:instrText xml:space="preserve"> PAGEREF toc_5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6" w:history="true">
            <w:r>
              <w:rPr>
                <w:rStyle w:val="Hyperlink"/>
              </w:rPr>
              <w:t xml:space="preserve">2. Solution Architecture</w:t>
            </w:r>
            <w:r>
              <w:tab/>
            </w:r>
            <w:r>
              <w:fldChar w:fldCharType="begin"/>
              <w:instrText xml:space="preserve"> PAGEREF toc_6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7" w:history="true">
            <w:r>
              <w:rPr>
                <w:rStyle w:val="Hyperlink"/>
              </w:rPr>
              <w:t xml:space="preserve">2.1 Key Design Principle</w:t>
            </w:r>
            <w:r>
              <w:tab/>
            </w:r>
            <w:r>
              <w:fldChar w:fldCharType="begin"/>
              <w:instrText xml:space="preserve"> PAGEREF toc_7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8" w:history="true">
            <w:r>
              <w:rPr>
                <w:rStyle w:val="Hyperlink"/>
              </w:rPr>
              <w:t xml:space="preserve">3. Implementation</w:t>
            </w:r>
            <w:r>
              <w:tab/>
            </w:r>
            <w:r>
              <w:fldChar w:fldCharType="begin"/>
              <w:instrText xml:space="preserve"> PAGEREF toc_8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9" w:history="true">
            <w:r>
              <w:rPr>
                <w:rStyle w:val="Hyperlink"/>
              </w:rPr>
              <w:t xml:space="preserve">3.1 Grounding</w:t>
            </w:r>
            <w:r>
              <w:tab/>
            </w:r>
            <w:r>
              <w:fldChar w:fldCharType="begin"/>
              <w:instrText xml:space="preserve"> PAGEREF toc_9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0" w:history="true">
            <w:r>
              <w:rPr>
                <w:rStyle w:val="Hyperlink"/>
              </w:rPr>
              <w:t xml:space="preserve">3.2 Specialist Subagents</w:t>
            </w:r>
            <w:r>
              <w:tab/>
            </w:r>
            <w:r>
              <w:fldChar w:fldCharType="begin"/>
              <w:instrText xml:space="preserve"> PAGEREF toc_10 \h </w:instrText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1" w:history="true">
            <w:r>
              <w:rPr>
                <w:rStyle w:val="Hyperlink"/>
              </w:rPr>
              <w:t xml:space="preserve">3.3 Tools</w:t>
            </w:r>
            <w:r>
              <w:tab/>
            </w:r>
            <w:r>
              <w:fldChar w:fldCharType="begin"/>
              <w:instrText xml:space="preserve"> PAGEREF toc_11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2" w:history="true">
            <w:r>
              <w:rPr>
                <w:rStyle w:val="Hyperlink"/>
              </w:rPr>
              <w:t xml:space="preserve">3.4 Persistence and Memory</w:t>
            </w:r>
            <w:r>
              <w:tab/>
            </w:r>
            <w:r>
              <w:fldChar w:fldCharType="begin"/>
              <w:instrText xml:space="preserve"> PAGEREF toc_12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3" w:history="true">
            <w:r>
              <w:rPr>
                <w:rStyle w:val="Hyperlink"/>
              </w:rPr>
              <w:t xml:space="preserve">3.5 End-to-End Workflow</w:t>
            </w:r>
            <w:r>
              <w:tab/>
            </w:r>
            <w:r>
              <w:fldChar w:fldCharType="begin"/>
              <w:instrText xml:space="preserve"> PAGEREF toc_13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4" w:history="true">
            <w:r>
              <w:rPr>
                <w:rStyle w:val="Hyperlink"/>
              </w:rPr>
              <w:t xml:space="preserve">3.6 Human-in-the-Loop Decision Point</w:t>
            </w:r>
            <w:r>
              <w:tab/>
            </w:r>
            <w:r>
              <w:fldChar w:fldCharType="begin"/>
              <w:instrText xml:space="preserve"> PAGEREF toc_14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15" w:history="true">
            <w:r>
              <w:rPr>
                <w:rStyle w:val="Hyperlink"/>
              </w:rPr>
              <w:t xml:space="preserve">4. Benefits</w:t>
            </w:r>
            <w:r>
              <w:tab/>
            </w:r>
            <w:r>
              <w:fldChar w:fldCharType="begin"/>
              <w:instrText xml:space="preserve"> PAGEREF toc_15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6" w:history="true">
            <w:r>
              <w:rPr>
                <w:rStyle w:val="Hyperlink"/>
              </w:rPr>
              <w:t xml:space="preserve">4.1 Speed</w:t>
            </w:r>
            <w:r>
              <w:tab/>
            </w:r>
            <w:r>
              <w:fldChar w:fldCharType="begin"/>
              <w:instrText xml:space="preserve"> PAGEREF toc_16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7" w:history="true">
            <w:r>
              <w:rPr>
                <w:rStyle w:val="Hyperlink"/>
              </w:rPr>
              <w:t xml:space="preserve">4.2 Consistency</w:t>
            </w:r>
            <w:r>
              <w:tab/>
            </w:r>
            <w:r>
              <w:fldChar w:fldCharType="begin"/>
              <w:instrText xml:space="preserve"> PAGEREF toc_17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8" w:history="true">
            <w:r>
              <w:rPr>
                <w:rStyle w:val="Hyperlink"/>
              </w:rPr>
              <w:t xml:space="preserve">4.3 Auditability</w:t>
            </w:r>
            <w:r>
              <w:tab/>
            </w:r>
            <w:r>
              <w:fldChar w:fldCharType="begin"/>
              <w:instrText xml:space="preserve"> PAGEREF toc_18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19" w:history="true">
            <w:r>
              <w:rPr>
                <w:rStyle w:val="Hyperlink"/>
              </w:rPr>
              <w:t xml:space="preserve">4.4 Safety by Construction</w:t>
            </w:r>
            <w:r>
              <w:tab/>
            </w:r>
            <w:r>
              <w:fldChar w:fldCharType="begin"/>
              <w:instrText xml:space="preserve"> PAGEREF toc_19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0" w:history="true">
            <w:r>
              <w:rPr>
                <w:rStyle w:val="Hyperlink"/>
              </w:rPr>
              <w:t xml:space="preserve">4.5 Reduced Rule-Miss Risk</w:t>
            </w:r>
            <w:r>
              <w:tab/>
            </w:r>
            <w:r>
              <w:fldChar w:fldCharType="begin"/>
              <w:instrText xml:space="preserve"> PAGEREF toc_20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21" w:history="true">
            <w:r>
              <w:rPr>
                <w:rStyle w:val="Hyperlink"/>
              </w:rPr>
              <w:t xml:space="preserve">5. Value Add to the Financial Portfolio Trade Review and Compliance Process</w:t>
            </w:r>
            <w:r>
              <w:tab/>
            </w:r>
            <w:r>
              <w:fldChar w:fldCharType="begin"/>
              <w:instrText xml:space="preserve"> PAGEREF toc_21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2" w:history="true">
            <w:r>
              <w:rPr>
                <w:rStyle w:val="Hyperlink"/>
              </w:rPr>
              <w:t xml:space="preserve">5.1 For the Trader</w:t>
            </w:r>
            <w:r>
              <w:tab/>
            </w:r>
            <w:r>
              <w:fldChar w:fldCharType="begin"/>
              <w:instrText xml:space="preserve"> PAGEREF toc_22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3" w:history="true">
            <w:r>
              <w:rPr>
                <w:rStyle w:val="Hyperlink"/>
              </w:rPr>
              <w:t xml:space="preserve">5.2 For Risk and Compliance</w:t>
            </w:r>
            <w:r>
              <w:tab/>
            </w:r>
            <w:r>
              <w:fldChar w:fldCharType="begin"/>
              <w:instrText xml:space="preserve"> PAGEREF toc_23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4" w:history="true">
            <w:r>
              <w:rPr>
                <w:rStyle w:val="Hyperlink"/>
              </w:rPr>
              <w:t xml:space="preserve">5.3 For Process Governance</w:t>
            </w:r>
            <w:r>
              <w:tab/>
            </w:r>
            <w:r>
              <w:fldChar w:fldCharType="begin"/>
              <w:instrText xml:space="preserve"> PAGEREF toc_24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5" w:history="true">
            <w:r>
              <w:rPr>
                <w:rStyle w:val="Hyperlink"/>
              </w:rPr>
              <w:t xml:space="preserve">5.4 For Institutional Memory</w:t>
            </w:r>
            <w:r>
              <w:tab/>
            </w:r>
            <w:r>
              <w:fldChar w:fldCharType="begin"/>
              <w:instrText xml:space="preserve"> PAGEREF toc_25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oc_26" w:history="true">
            <w:r>
              <w:rPr>
                <w:rStyle w:val="Hyperlink"/>
              </w:rPr>
              <w:t xml:space="preserve">5.5 Net Effect</w:t>
            </w:r>
            <w:r>
              <w:tab/>
            </w:r>
            <w:r>
              <w:fldChar w:fldCharType="begin"/>
              <w:instrText xml:space="preserve"> PAGEREF toc_26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27" w:history="true">
            <w:r>
              <w:rPr>
                <w:rStyle w:val="Hyperlink"/>
              </w:rPr>
              <w:t xml:space="preserve">6. Agent Framework Specification (Week 3 Format)</w:t>
            </w:r>
            <w:r>
              <w:tab/>
            </w:r>
            <w:r>
              <w:fldChar w:fldCharType="begin"/>
              <w:instrText xml:space="preserve"> PAGEREF toc_27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toc_28" w:history="true">
            <w:r>
              <w:rPr>
                <w:rStyle w:val="Hyperlink"/>
              </w:rPr>
              <w:t xml:space="preserve">7. Disclaimer</w:t>
            </w:r>
            <w:r>
              <w:tab/>
            </w:r>
            <w:r>
              <w:fldChar w:fldCharType="begin"/>
              <w:instrText xml:space="preserve"> PAGEREF toc_28 \h </w:instrText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" w:name="toc_1"/>
      <w:r>
        <w:t xml:space="preserve">1. Use Case Definition</w:t>
      </w:r>
      <w:bookmarkEnd w:id="1"/>
    </w:p>
    <w:p>
      <w:pPr>
        <w:pStyle w:val="Heading2"/>
      </w:pPr>
      <w:bookmarkStart w:id="2" w:name="toc_2"/>
      <w:r>
        <w:t xml:space="preserve">1.1 Problem Statement</w:t>
      </w:r>
      <w:bookmarkEnd w:id="2"/>
    </w:p>
    <w:p>
      <w:pPr>
        <w:spacing w:after="160"/>
      </w:pPr>
      <w:r>
        <w:t xml:space="preserve">Every proposed futures trade on the portfolio currently requires a trader to manually cross-check three things before acting: the technical and macro backdrop for the contract, the correct position size under the portfolio's risk caps, and compliance with a fixed set of hard risk rules. Done by hand, this cross-checking takes roughly 15–20 minutes per idea, is repetitive, and is exactly the kind of task where a tired or rushed reviewer can miss a rule violation — oversized risk, an excluded sector overlap, a missing stop, or a reward:risk ratio below the portfolio's floor.</w:t>
      </w:r>
    </w:p>
    <w:p>
      <w:pPr>
        <w:pStyle w:val="Heading2"/>
      </w:pPr>
      <w:bookmarkStart w:id="3" w:name="toc_3"/>
      <w:r>
        <w:t xml:space="preserve">1.2 One-Line Definition</w:t>
      </w:r>
      <w:bookmarkEnd w:id="3"/>
    </w:p>
    <w:p>
      <w:pPr>
        <w:spacing w:after="160"/>
      </w:pPr>
      <w:r>
        <w:t xml:space="preserve">The Trade Review Deep Agent helps a futures trader decide whether to take a proposed trade on a $100,000 portfolio, replacing the manual cross-check of technical bias, risk sizing, and compliance rules with an automated research-size-check-critique pipeline. It researches the contract's current setup, sizes the position under the 1–2% risk cap, checks it against hard portfolio risk rules, drafts a trade ticket, and hands off to the trader for a final, explicit approve/reject decision before anything is ever marked “taken.”</w:t>
      </w:r>
    </w:p>
    <w:p>
      <w:pPr>
        <w:pStyle w:val="Heading2"/>
      </w:pPr>
      <w:bookmarkStart w:id="4" w:name="toc_4"/>
      <w:r>
        <w:t xml:space="preserve">1.3 Scope and Boundaries</w:t>
      </w:r>
      <w:bookmarkEnd w:id="4"/>
    </w:p>
    <w:p>
      <w:pPr>
        <w:pStyle w:val="ListParagraph"/>
        <w:numPr>
          <w:ilvl w:val="0"/>
          <w:numId w:val="2"/>
        </w:numPr>
        <w:spacing w:after="100"/>
      </w:pPr>
      <w:r>
        <w:t xml:space="preserve">In scope: futures-trade review for a 10-contract universe across four sectors (equities, metals, energy, bonds) on a single $100,000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 of scope: real order placement. execute_trade is a simulated tool only — no order is ever sent to a broker.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 of scope: investment advice to third parties. This is an internal decision-support tool for one portfolio's own trader, not a recommendation engine for other investors.</w:t>
      </w:r>
    </w:p>
    <w:p>
      <w:pPr>
        <w:pStyle w:val="Heading2"/>
      </w:pPr>
      <w:bookmarkStart w:id="5" w:name="toc_5"/>
      <w:r>
        <w:t xml:space="preserve">1.4 Success Criterion</w:t>
      </w:r>
      <w:bookmarkEnd w:id="5"/>
    </w:p>
    <w:p>
      <w:pPr>
        <w:spacing w:after="160"/>
      </w:pPr>
      <w:r>
        <w:t xml:space="preserve">A trader can get a go/no-go decision, with full reasoning, in under two minutes — a decision they would act on roughly eight times out of ten.</w:t>
      </w:r>
    </w:p>
    <w:p>
      <w:pPr>
        <w:pStyle w:val="Heading1"/>
      </w:pPr>
      <w:bookmarkStart w:id="6" w:name="toc_6"/>
      <w:r>
        <w:t xml:space="preserve">2. Solution Architecture</w:t>
      </w:r>
      <w:bookmarkEnd w:id="6"/>
    </w:p>
    <w:p>
      <w:pPr>
        <w:spacing w:after="160"/>
      </w:pPr>
      <w:r>
        <w:t xml:space="preserve">The system is built on the Deep Agents framework (LangChain's agent layer over LangGraph): one orchestrator plans the review and delegates to four specialist subagents, each with isolated context and a narrow toolset. A shared filesystem carries the trade ticket between agents; a Store provides memory that survives across sessions; and a single human-approval gate sits in front of the only action capable of taking the trade.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4476750"/>
            <wp:effectExtent t="0" r="0" b="0" l="0"/>
            <wp:docPr id="1" name="architecture_diagram.png" descr="architecture_diagram.png" title="architectur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Figure 1. System architecture — orchestrator, four subagents, shared backends, and the human gate.</w:t>
      </w:r>
    </w:p>
    <w:p>
      <w:pPr>
        <w:pStyle w:val="Heading2"/>
      </w:pPr>
      <w:bookmarkStart w:id="7" w:name="toc_7"/>
      <w:r>
        <w:t xml:space="preserve">2.1 Key Design Principle</w:t>
      </w:r>
      <w:bookmarkEnd w:id="7"/>
    </w:p>
    <w:p>
      <w:pPr>
        <w:spacing w:after="160"/>
      </w:pPr>
      <w:r>
        <w:t xml:space="preserve">Reads are autonomous; the one write action is not. Researching the market, sizing the position, and checking compliance all happen without a human in the loop — but execute_trade, the only action that marks a trade “taken,” is gated behind mandatory human approval on every single run. This boundary is enforced structurally (interrupt_on={'execute_trade': True}), not just by instruction.</w:t>
      </w:r>
    </w:p>
    <w:p>
      <w:pPr>
        <w:pStyle w:val="Heading1"/>
      </w:pPr>
      <w:bookmarkStart w:id="8" w:name="toc_8"/>
      <w:r>
        <w:t xml:space="preserve">3. Implementation</w:t>
      </w:r>
      <w:bookmarkEnd w:id="8"/>
    </w:p>
    <w:p>
      <w:pPr>
        <w:pStyle w:val="Heading2"/>
      </w:pPr>
      <w:bookmarkStart w:id="9" w:name="toc_9"/>
      <w:r>
        <w:t xml:space="preserve">3.1 Grounding</w:t>
      </w:r>
      <w:bookmarkEnd w:id="9"/>
    </w:p>
    <w:p>
      <w:pPr>
        <w:spacing w:after="160"/>
      </w:pPr>
      <w:r>
        <w:t xml:space="preserve">The agent is grounded in two files it must never invent beyond: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trading_playbook.md — the hard “never” rules (2% single-trade cap, 6% portfolio heat cap, same-sector limits, mandatory stop, mandatory human approval) plus a dated macro snapshot used only as a labeled fallback when live search is unavailable.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trading_strategy_dashboard.md — the detailed entry/exit/sizing rulebook and a live per-contract performance scorecard (grades A through D) that the critic validates every trade against.</w:t>
      </w:r>
    </w:p>
    <w:p>
      <w:pPr>
        <w:pStyle w:val="Heading2"/>
      </w:pPr>
      <w:bookmarkStart w:id="10" w:name="toc_10"/>
      <w:r>
        <w:t xml:space="preserve">3.2 Specialist Subagents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market-analyst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web_search (optional, live)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/research/market_brief.md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risk-sizer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portfolio_state, risk_calculator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/drafts/trade_ticket.md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compliance-checker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portfolio_state, compliance_check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/review/compliance_report.md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trade-critic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risk_calculator, compliance_check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/review/critic_verdict.md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The trade-critic is the final cross-check: it validates consistency between the ticket and the compliance report, confirms every claim is grounded in the research brief or playbook (including catching any date-mislabeling between a live search and the stale snapshot), checks completeness of the ticket, and validates the trade against the strategy dashboard's entry rules, sizing bands, and live contract grade. A contract graded D is flagged explicitly even if the ticket otherwise passes every hard rule — the human makes the final call on D-graded contracts.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4029075"/>
            <wp:effectExtent t="0" r="0" b="0" l="0"/>
            <wp:docPr id="1" name="data_flow_diagram.png" descr="data_flow_diagram.png" title="data_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Figure 2. Data flow — sources, subagent processing, and the shared-filesystem artifacts each stage produces.</w:t>
      </w:r>
    </w:p>
    <w:p>
      <w:pPr>
        <w:pStyle w:val="Heading2"/>
      </w:pPr>
      <w:bookmarkStart w:id="11" w:name="toc_11"/>
      <w:r>
        <w:t xml:space="preserve">3.3 Tools</w:t>
      </w:r>
      <w:bookmarkEnd w:id="11"/>
    </w:p>
    <w:p>
      <w:pPr>
        <w:pStyle w:val="ListParagraph"/>
        <w:numPr>
          <w:ilvl w:val="0"/>
          <w:numId w:val="2"/>
        </w:numPr>
        <w:spacing w:after="100"/>
      </w:pPr>
      <w:r>
        <w:t xml:space="preserve">web_search (Tavily) — optional live technical/macro context; falls back to the grounding snapshot with an explicit disclosure if unavailable.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portfolio_state — deterministic lookup of current portfolio value and open positions (mocked; swappable for a real broker/portfolio API).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risk_calculator — deterministic dollar-risk, position-size, and reward:risk arithmetic. The model drafts the idea; plain code does the math.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compliance_check — deterministic PASS/FAIL against the hard risk rules.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execute_trade — a simulated “take the trade” action, gated behind human approval. Nothing is ever sent to a real broker.</w:t>
      </w:r>
    </w:p>
    <w:p>
      <w:pPr>
        <w:pStyle w:val="Heading2"/>
      </w:pPr>
      <w:bookmarkStart w:id="12" w:name="toc_12"/>
      <w:r>
        <w:t xml:space="preserve">3.4 Persistence and Memory</w:t>
      </w:r>
      <w:bookmarkEnd w:id="12"/>
    </w:p>
    <w:p>
      <w:pPr>
        <w:spacing w:after="160"/>
      </w:pPr>
      <w:r>
        <w:t xml:space="preserve">A CompositeBackend routes by path: everything under /research, /drafts, /review, and /final lands on disk via a FilesystemBackend, so the artifacts are visible in a normal file explorer during review. Everything under /memories/ routes to a StoreBackend instead, which survives across sessions — a new conversation thread can still recall the risk profile and any flags raised on a prior trade. A checkpointer (MemorySaver) holds per-thread state and is required for the human-in-the-loop interrupt to pause and resume correctly.</w:t>
      </w:r>
    </w:p>
    <w:p>
      <w:pPr>
        <w:pStyle w:val="Heading2"/>
      </w:pPr>
      <w:bookmarkStart w:id="13" w:name="toc_13"/>
      <w:r>
        <w:t xml:space="preserve">3.5 End-to-End Workflow</w:t>
      </w:r>
      <w:bookmarkEnd w:id="13"/>
    </w:p>
    <w:p>
      <w:pPr>
        <w:spacing w:after="160"/>
      </w:pPr>
      <w:r>
        <w:t xml:space="preserve">Each run starts with a market scan across the watchlist (ES, NQ, GC, CL, NG): a throwaway-thread call per contract proposes a candidate setup or reports none qualifies, before the trader commits to a specific idea. The trader's chosen setup then enters the full pipeline.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4572000"/>
            <wp:effectExtent t="0" r="0" b="0" l="0"/>
            <wp:docPr id="1" name="workflow_diagram.png" descr="workflow_diagram.png" title="work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Figure 3. End-to-end workflow — from market scan to the human go/no-go decision.</w:t>
      </w:r>
    </w:p>
    <w:p>
      <w:pPr>
        <w:pStyle w:val="Heading2"/>
      </w:pPr>
      <w:bookmarkStart w:id="14" w:name="toc_14"/>
      <w:r>
        <w:t xml:space="preserve">3.6 Human-in-the-Loop Decision Point</w:t>
      </w:r>
      <w:bookmarkEnd w:id="14"/>
    </w:p>
    <w:p>
      <w:pPr>
        <w:spacing w:after="160"/>
      </w:pPr>
      <w:r>
        <w:t xml:space="preserve">Before the trader is asked to approve or reject, the system prints the trade-critic's full verdict — all four review axes, the READY FOR HUMAN REVIEW or NEEDS REVISION line, and any D/C-grade flag — so the decision is grounded in the critic's actual reasoning, not just the raw pending tool-call arguments. The trader can approve (the trade is marked TAKEN, still simulated), or reject with a written reason, which resumes the graph and sends the ticket back for revision rather than restarting the run from scratch.</w:t>
      </w:r>
    </w:p>
    <w:p>
      <w:pPr>
        <w:pStyle w:val="Heading1"/>
      </w:pPr>
      <w:bookmarkStart w:id="15" w:name="toc_15"/>
      <w:r>
        <w:t xml:space="preserve">4. Benefits</w:t>
      </w:r>
      <w:bookmarkEnd w:id="15"/>
    </w:p>
    <w:p>
      <w:pPr>
        <w:pStyle w:val="Heading2"/>
      </w:pPr>
      <w:bookmarkStart w:id="16" w:name="toc_16"/>
      <w:r>
        <w:t xml:space="preserve">4.1 Speed</w:t>
      </w:r>
      <w:bookmarkEnd w:id="16"/>
    </w:p>
    <w:p>
      <w:pPr>
        <w:spacing w:after="160"/>
      </w:pPr>
      <w:r>
        <w:t xml:space="preserve">Replaces a 15–20 minute manual cross-check (technical read, sizing math, rule lookup) with an automated pipeline that completes in well under two minutes, including a multi-contract market scan the trader never had time to run by hand.</w:t>
      </w:r>
    </w:p>
    <w:p>
      <w:pPr>
        <w:pStyle w:val="Heading2"/>
      </w:pPr>
      <w:bookmarkStart w:id="17" w:name="toc_17"/>
      <w:r>
        <w:t xml:space="preserve">4.2 Consistency</w:t>
      </w:r>
      <w:bookmarkEnd w:id="17"/>
    </w:p>
    <w:p>
      <w:pPr>
        <w:spacing w:after="160"/>
      </w:pPr>
      <w:r>
        <w:t xml:space="preserve">Position sizing and compliance arithmetic are computed by deterministic code (risk_calculator, compliance_check), not estimated by a language model — the same inputs always produce the same risk amount, reward:risk ratio, and pass/fail verdict.</w:t>
      </w:r>
    </w:p>
    <w:p>
      <w:pPr>
        <w:pStyle w:val="Heading2"/>
      </w:pPr>
      <w:bookmarkStart w:id="18" w:name="toc_18"/>
      <w:r>
        <w:t xml:space="preserve">4.3 Auditability</w:t>
      </w:r>
      <w:bookmarkEnd w:id="18"/>
    </w:p>
    <w:p>
      <w:pPr>
        <w:spacing w:after="160"/>
      </w:pPr>
      <w:r>
        <w:t xml:space="preserve">Every stage of the review writes a file: the research brief, the draft ticket, the compliance report, the critic's verdict, and the consolidated final ticket. The full reasoning trail behind any decision is on disk, not buried in a chat transcript.</w:t>
      </w:r>
    </w:p>
    <w:p>
      <w:pPr>
        <w:pStyle w:val="Heading2"/>
      </w:pPr>
      <w:bookmarkStart w:id="19" w:name="toc_19"/>
      <w:r>
        <w:t xml:space="preserve">4.4 Safety by Construction</w:t>
      </w:r>
      <w:bookmarkEnd w:id="19"/>
    </w:p>
    <w:p>
      <w:pPr>
        <w:spacing w:after="160"/>
      </w:pPr>
      <w:r>
        <w:t xml:space="preserve">The only action capable of affecting a real position is structurally gated behind human approval on every run — not as a style of prompting, but as a graph-level interrupt that requires an explicit resume. execute_trade itself never contacts a real broker; it is a simulation.</w:t>
      </w:r>
    </w:p>
    <w:p>
      <w:pPr>
        <w:pStyle w:val="Heading2"/>
      </w:pPr>
      <w:bookmarkStart w:id="20" w:name="toc_20"/>
      <w:r>
        <w:t xml:space="preserve">4.5 Reduced Rule-Miss Risk</w:t>
      </w:r>
      <w:bookmarkEnd w:id="20"/>
    </w:p>
    <w:p>
      <w:pPr>
        <w:spacing w:after="160"/>
      </w:pPr>
      <w:r>
        <w:t xml:space="preserve">The critic's four-axis review and the strategy dashboard's live per-contract grading catch the kinds of misses a rushed manual review is prone to: an under-target reward:risk ratio, a stale or mislabeled market read, a contract that has been underperforming (C/D grade), or a sector-concentration breach.</w:t>
      </w:r>
    </w:p>
    <w:p>
      <w:pPr>
        <w:pStyle w:val="Heading1"/>
      </w:pPr>
      <w:bookmarkStart w:id="21" w:name="toc_21"/>
      <w:r>
        <w:t xml:space="preserve">5. Value Add to the Financial Portfolio Trade Review and Compliance Process</w:t>
      </w:r>
      <w:bookmarkEnd w:id="21"/>
    </w:p>
    <w:p>
      <w:pPr>
        <w:pStyle w:val="Heading2"/>
      </w:pPr>
      <w:bookmarkStart w:id="22" w:name="toc_22"/>
      <w:r>
        <w:t xml:space="preserve">5.1 For the Trader</w:t>
      </w:r>
      <w:bookmarkEnd w:id="22"/>
    </w:p>
    <w:p>
      <w:pPr>
        <w:spacing w:after="160"/>
      </w:pPr>
      <w:r>
        <w:t xml:space="preserve">A single consolidated file (/final/trade_ticket.md) replaces several manual lookups: current technical/macro read, exact position size and dollar risk, compliance pass/fail with citations, and an independent critic's verdict — all before the trader is asked to make one yes/no call.</w:t>
      </w:r>
    </w:p>
    <w:p>
      <w:pPr>
        <w:pStyle w:val="Heading2"/>
      </w:pPr>
      <w:bookmarkStart w:id="23" w:name="toc_23"/>
      <w:r>
        <w:t xml:space="preserve">5.2 For Risk and Compliance</w:t>
      </w:r>
      <w:bookmarkEnd w:id="23"/>
    </w:p>
    <w:p>
      <w:pPr>
        <w:spacing w:after="160"/>
      </w:pPr>
      <w:r>
        <w:t xml:space="preserve">Hard risk rules (2% single-trade cap, 6% portfolio heat cap, same-sector limits, mandatory stop, minimum reward:risk) are enforced the same way on every single trade idea, with a written PASS/FAIL citation trail — removing the variability of a manual reviewer's judgment call under time pressure, and creating a durable record for any later review of how a given trade was approved.</w:t>
      </w:r>
    </w:p>
    <w:p>
      <w:pPr>
        <w:pStyle w:val="Heading2"/>
      </w:pPr>
      <w:bookmarkStart w:id="24" w:name="toc_24"/>
      <w:r>
        <w:t xml:space="preserve">5.3 For Process Governance</w:t>
      </w:r>
      <w:bookmarkEnd w:id="24"/>
    </w:p>
    <w:p>
      <w:pPr>
        <w:spacing w:after="160"/>
      </w:pPr>
      <w:r>
        <w:t xml:space="preserve">The strategy dashboard's live performance scorecard is wired directly into the review: a contract graded D is never silently approved, and a C-graded contract is flagged to confirm size was reduced as the dashboard requires. This turns a static quarterly review document into an input the system actively checks against on every trade, not just when someone remembers to look it up.</w:t>
      </w:r>
    </w:p>
    <w:p>
      <w:pPr>
        <w:pStyle w:val="Heading2"/>
      </w:pPr>
      <w:bookmarkStart w:id="25" w:name="toc_25"/>
      <w:r>
        <w:t xml:space="preserve">5.4 For Institutional Memory</w:t>
      </w:r>
      <w:bookmarkEnd w:id="25"/>
    </w:p>
    <w:p>
      <w:pPr>
        <w:spacing w:after="160"/>
      </w:pPr>
      <w:r>
        <w:t xml:space="preserve">The /memories/risk_profile.md note persists across sessions, so flags raised on one trade (a tight reward:risk, a D-graded contract, a stale data read) are not lost when the conversation ends — they are available to the very next review of the same portfolio.</w:t>
      </w:r>
    </w:p>
    <w:p>
      <w:pPr>
        <w:pStyle w:val="Heading2"/>
      </w:pPr>
      <w:bookmarkStart w:id="26" w:name="toc_26"/>
      <w:r>
        <w:t xml:space="preserve">5.5 Net Effect</w:t>
      </w:r>
      <w:bookmarkEnd w:id="26"/>
    </w:p>
    <w:p>
      <w:pPr>
        <w:spacing w:after="160"/>
      </w:pPr>
      <w:r>
        <w:t xml:space="preserve">The agent does not replace the trader's judgment — it removes the repetitive, error-prone cross-checking that precedes that judgment, and it does so without ever weakening the one control that matters most: a human always makes the final call before a trade is taken.</w:t>
      </w:r>
    </w:p>
    <w:p>
      <w:pPr>
        <w:pStyle w:val="Heading1"/>
      </w:pPr>
      <w:bookmarkStart w:id="27" w:name="toc_27"/>
      <w:r>
        <w:t xml:space="preserve">6. Agent Framework Specification (Week 3 Format)</w:t>
      </w:r>
      <w:bookmarkEnd w:id="27"/>
    </w:p>
    <w:p>
      <w:pPr>
        <w:spacing w:after="160"/>
      </w:pPr>
      <w:r>
        <w:t xml:space="preserve">The table below answers the Week 3 Agentic AI Systems framework's forcing questions for this agent, based directly on trade_deep_agent.ipynb, so every layer of the design reflects an explicit decision rather than something left implicit.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Fill in (1 to 2 sentences max)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goal (one 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 whether a proposed futures trade on a $100,000 portfolio is ready to take — research the setup, size it, check it against hard risk rules, and critique it — then hand off to a human for the final go/no-go.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do people use it?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Inside the Jupyter notebook itself (trade_deep_agent.ipynb): the trader runs the notebook's cells and answers live input() prompts in the notebook output to enter a trade setup and to approve or reject the final recommendation.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steps does it take, in order?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Market-scan the watchlist for candidate setups. 2. Trader enters/picks a setup. 3. Orchestrator plans (write_todos) and delegates to market-analyst, risk-sizer, compliance-checker, and trade-critic in sequence (re-looping on NEEDS REVISION). 4. Orchestrator saves the final ticket, verdict, and a memory note, then calls execute_trade, which pauses for human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can it actually 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web_search and portfolio_state only look things up (read); risk_calculator and compliance_check only compute/check (read, no side effect); write_todos and the file writes to /research, /drafts, /review, /final, and /memories create persistent records (write); execute_trade is the one action that changes something — it marks the trade TAKEN, simulated only, and is gated behind human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it need to remember?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a run, just the current thread's trade idea and scan results; across sessions, /memories/risk_profile.md — a one-paragraph note on each reviewed trade's risk profile and any flags (D-grade contract, weak R:R, stale data) — so the next session's review isn't starting from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should it never 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call execute_trade without an explicit human approval; never invent risk rules, strategy rules, or market facts beyond the grounding files and research; never let a single trade exceed the 2% risk cap or push portfolio heat over 6%; never place a real order — execute_trade is simulation only.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Fill in (1 to 2 sentences max)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Human-in-the-loop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the trade-critic marks the ticket READY FOR HUMAN REVIEW and the orchestrator calls execute_trade, the graph interrupts and pauses; the human sees the critic's full verdict plus the pending trade request, then approves, or rejects with a written reason that resumes the run and sends the ticket back for revision.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happens when something breaks?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compliance_check returns FAIL and one revision pass can't fix it, the orchestrator stops and reports the failure instead of calling execute_trade; if a market-scan call or the main run hits the recursion_limit, a GraphRecursionError is caught and reported (e.g. “SCAN INCOMPLETE”) rather than the agent looping indefinitely.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 you know it worked?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trader gets a go/no-go decision, with full reasoning (critic verdict, compliance citations, sizing math) in under two minutes — the notebook's own success criterion is that this is a decision the trader would act on about eight times out of ten.</w:t>
            </w:r>
          </w:p>
        </w:tc>
      </w:tr>
    </w:tbl>
    <w:p>
      <w:pPr>
        <w:pStyle w:val="Heading1"/>
      </w:pPr>
      <w:bookmarkStart w:id="28" w:name="toc_28"/>
      <w:r>
        <w:t xml:space="preserve">7. Disclaimer</w:t>
      </w:r>
      <w:bookmarkEnd w:id="28"/>
    </w:p>
    <w:p>
      <w:pPr>
        <w:spacing w:after="160"/>
      </w:pPr>
      <w:r>
        <w:t xml:space="preserve">This system and document are for educational and informational purposes only. They do not constitute financial advice. execute_trade is a simulated tool only — no real order is ever placed with a broker. Futures trading involves substantial risk of loss.</w:t>
      </w:r>
    </w:p>
    <w:sectPr>
      <w:footerReference w:type="default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  <w:jc w:val="center"/>
      <w:rPr>
        <w:color w:val="6B7280"/>
        <w:sz w:val="18"/>
        <w:szCs w:val="18"/>
      </w:rPr>
    </w:pPr>
    <w:r>
      <w:rPr>
        <w:color w:val="6B7280"/>
        <w:sz w:val="18"/>
        <w:szCs w:val="18"/>
      </w:rPr>
      <w:fldChar w:fldCharType="begin"/>
      <w:instrText xml:space="preserve"> PAGE </w:instrText>
      <w:fldChar w:fldCharType="separate"/>
    </w:r>
    <w:r>
      <w:rPr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TOC1">
    <w:name w:val="TOC Heading 1"/>
    <w:basedOn w:val="Normal"/>
    <w:next w:val="Normal"/>
    <w:autoRedefine/>
    <w:uiPriority w:val="39"/>
    <w:unhideWhenUsed/>
    <w:pPr>
      <w:tabs>
        <w:tab w:val="right" w:leader="dot" w:pos="9350"/>
      </w:tabs>
      <w:spacing w:after="100" w:before="0"/>
    </w:pPr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>
    <w:name w:val="Footer Char"/>
    <w:basedOn w:val="DefaultParagraphFont"/>
    <w:link w:val="Footer"/>
    <w:uiPriority w:val="99"/>
  </w:style>
  <w:style w:type="paragraph" w:styleId="TOC2">
    <w:name w:val="TOC Heading 2"/>
    <w:basedOn w:val="Normal"/>
    <w:next w:val="Normal"/>
    <w:autoRedefine/>
    <w:uiPriority w:val="39"/>
    <w:unhideWhenUsed/>
    <w:pPr>
      <w:tabs>
        <w:tab w:val="right" w:leader="dot" w:pos="9350"/>
      </w:tabs>
      <w:spacing w:after="80" w:before="0"/>
      <w:ind w:left="22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17571a7bb00e29a3eeb23bf2c6fec6888c0d72.png"/><Relationship Id="rId8" Type="http://schemas.openxmlformats.org/officeDocument/2006/relationships/image" Target="media/6a55354f103868268175d2886712aef97141aced.png"/><Relationship Id="rId9" Type="http://schemas.openxmlformats.org/officeDocument/2006/relationships/image" Target="media/805e21839b7732b12fe1242d22b431b89e3b990f.png"/><Relationship Id="rId10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2026-06-16T17:49:40.690Z</dcterms:created>
  <dcterms:modified xsi:type="dcterms:W3CDTF">2026-06-16T17:49:40.691Z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