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F494" w14:textId="66702A19" w:rsidR="00C87A59" w:rsidRDefault="00A75C5B">
      <w:pPr>
        <w:pStyle w:val="Titre1"/>
      </w:pPr>
      <w:bookmarkStart w:id="0" w:name="X79211ec317480b5d4dff10f5a930b96290fccf2"/>
      <w:r>
        <w:t xml:space="preserve">Dictionnaire des Variables </w:t>
      </w:r>
    </w:p>
    <w:p w14:paraId="4DCFA349" w14:textId="77777777" w:rsidR="00C87A59" w:rsidRDefault="00A75C5B">
      <w:pPr>
        <w:pStyle w:val="Titre2"/>
      </w:pPr>
      <w:bookmarkStart w:id="1" w:name="Xcf6e3d50831c2445ab96ba6122ca80b0a9aa2c9"/>
      <w:r>
        <w:t>Projet Laplace Immo - Dataset Ames Housing</w:t>
      </w:r>
    </w:p>
    <w:p w14:paraId="31B81956" w14:textId="77777777" w:rsidR="00C87A59" w:rsidRDefault="00A75C5B">
      <w:pPr>
        <w:pStyle w:val="FirstParagraph"/>
      </w:pPr>
      <w:r>
        <w:t>Ce document fournit la traduction française de tous les noms de variables et de leurs modalités.</w:t>
      </w:r>
    </w:p>
    <w:p w14:paraId="7EB0CEB5" w14:textId="77777777" w:rsidR="00C87A59" w:rsidRDefault="00A75C5B">
      <w:r>
        <w:pict w14:anchorId="4B41DFCB">
          <v:rect id="_x0000_i1025" style="width:0;height:1.5pt" o:hralign="center" o:hrstd="t" o:hr="t"/>
        </w:pict>
      </w:r>
    </w:p>
    <w:p w14:paraId="5FF6E71E" w14:textId="77777777" w:rsidR="00C87A59" w:rsidRDefault="00A75C5B">
      <w:pPr>
        <w:pStyle w:val="Titre2"/>
      </w:pPr>
      <w:bookmarkStart w:id="2" w:name="variables-numériques"/>
      <w:bookmarkEnd w:id="1"/>
      <w:r>
        <w:t>Variables Numériques</w:t>
      </w:r>
    </w:p>
    <w:p w14:paraId="1E0D635C" w14:textId="77777777" w:rsidR="00C87A59" w:rsidRDefault="00A75C5B">
      <w:pPr>
        <w:pStyle w:val="Titre3"/>
      </w:pPr>
      <w:bookmarkStart w:id="3" w:name="identifiant"/>
      <w:r>
        <w:t>Identifiant</w:t>
      </w:r>
    </w:p>
    <w:p w14:paraId="02A984C3" w14:textId="77777777" w:rsidR="00C87A59" w:rsidRDefault="00A75C5B">
      <w:pPr>
        <w:pStyle w:val="FirstParagraph"/>
      </w:pPr>
      <w:r>
        <w:rPr>
          <w:b/>
          <w:bCs/>
        </w:rPr>
        <w:t>Id</w:t>
      </w:r>
      <w:r>
        <w:t xml:space="preserve"> : Identifiant unique de la propriété</w:t>
      </w:r>
    </w:p>
    <w:p w14:paraId="3C56D321" w14:textId="77777777" w:rsidR="00C87A59" w:rsidRDefault="00A75C5B">
      <w:r>
        <w:pict w14:anchorId="39335BD8">
          <v:rect id="_x0000_i1026" style="width:0;height:1.5pt" o:hralign="center" o:hrstd="t" o:hr="t"/>
        </w:pict>
      </w:r>
    </w:p>
    <w:p w14:paraId="69EE6BDC" w14:textId="77777777" w:rsidR="00C87A59" w:rsidRDefault="00A75C5B">
      <w:pPr>
        <w:pStyle w:val="Titre3"/>
      </w:pPr>
      <w:bookmarkStart w:id="4" w:name="caractéristiques-physiques"/>
      <w:bookmarkEnd w:id="3"/>
      <w:r>
        <w:t>Caractéristiques Physiques</w:t>
      </w:r>
    </w:p>
    <w:p w14:paraId="7AACC3B7" w14:textId="77777777" w:rsidR="00C87A59" w:rsidRDefault="00A75C5B">
      <w:pPr>
        <w:pStyle w:val="FirstParagraph"/>
      </w:pPr>
      <w:r>
        <w:rPr>
          <w:b/>
          <w:bCs/>
        </w:rPr>
        <w:t>MSSubClass</w:t>
      </w:r>
      <w:r>
        <w:t xml:space="preserve"> : Classe du type de logement - 20 : Maison 1</w:t>
      </w:r>
      <w:r>
        <w:t xml:space="preserve"> étage 1946 et plus récent, tous styles - 30 : Maison 1 étage 1945 et plus ancien - 40 : Maison 1 étage avec grenier aménagé, tous âges - 45 : Maison 1,5 étage non finie, tous âges - 50 : Maison 1,5 étage finie, tous âges - 60 : Maison 2 étages 1946 et plu</w:t>
      </w:r>
      <w:r>
        <w:t>s récent - 70 : Maison 2 étages 1945 et plus ancien - 75 : Maison 2,5 étages, tous âges - 80 : Maison à niveaux multiples ou split-level - 85 : Maison avec entrée en contrebas (split foyer) - 90 : Duplex, tous styles et âges - 120 : Maison 1 étage PUD (lot</w:t>
      </w:r>
      <w:r>
        <w:t>issement planifié) 1946 et plus récent - 150 : Maison 1,5 étage PUD, tous âges - 160 : Maison 2 étages PUD 1946 et plus récent - 180 : PUD multi-niveaux incluant split-level/foyer - 190 : Conversion 2 familles, tous styles et âges</w:t>
      </w:r>
    </w:p>
    <w:p w14:paraId="50DD39CB" w14:textId="77777777" w:rsidR="00C87A59" w:rsidRDefault="00A75C5B">
      <w:pPr>
        <w:pStyle w:val="Corpsdetexte"/>
      </w:pPr>
      <w:r>
        <w:rPr>
          <w:b/>
          <w:bCs/>
        </w:rPr>
        <w:t>LotFrontage</w:t>
      </w:r>
      <w:r>
        <w:t xml:space="preserve"> : Longueur li</w:t>
      </w:r>
      <w:r>
        <w:t>néaire de la rue connectée à la propriété (en pieds)</w:t>
      </w:r>
    </w:p>
    <w:p w14:paraId="51FEF364" w14:textId="77777777" w:rsidR="00C87A59" w:rsidRDefault="00A75C5B">
      <w:pPr>
        <w:pStyle w:val="Corpsdetexte"/>
      </w:pPr>
      <w:r>
        <w:rPr>
          <w:b/>
          <w:bCs/>
        </w:rPr>
        <w:t>LotArea</w:t>
      </w:r>
      <w:r>
        <w:t xml:space="preserve"> : Superficie du terrain (en pieds carrés)</w:t>
      </w:r>
    </w:p>
    <w:p w14:paraId="3CCC2A94" w14:textId="77777777" w:rsidR="00C87A59" w:rsidRDefault="00A75C5B">
      <w:pPr>
        <w:pStyle w:val="Corpsdetexte"/>
      </w:pPr>
      <w:r>
        <w:rPr>
          <w:b/>
          <w:bCs/>
        </w:rPr>
        <w:t>1stFlrSF</w:t>
      </w:r>
      <w:r>
        <w:t xml:space="preserve"> : Superficie du premier étage (en pieds carrés)</w:t>
      </w:r>
    </w:p>
    <w:p w14:paraId="7F8A5524" w14:textId="77777777" w:rsidR="00C87A59" w:rsidRDefault="00A75C5B">
      <w:pPr>
        <w:pStyle w:val="Corpsdetexte"/>
      </w:pPr>
      <w:r>
        <w:rPr>
          <w:b/>
          <w:bCs/>
        </w:rPr>
        <w:t>2ndFlrSF</w:t>
      </w:r>
      <w:r>
        <w:t xml:space="preserve"> : Superficie du deuxième étage (en pieds carrés)</w:t>
      </w:r>
    </w:p>
    <w:p w14:paraId="78F13D10" w14:textId="77777777" w:rsidR="00C87A59" w:rsidRDefault="00A75C5B">
      <w:pPr>
        <w:pStyle w:val="Corpsdetexte"/>
      </w:pPr>
      <w:r>
        <w:rPr>
          <w:b/>
          <w:bCs/>
        </w:rPr>
        <w:t>LowQualFinSF</w:t>
      </w:r>
      <w:r>
        <w:t xml:space="preserve"> : Superficie finie de fai</w:t>
      </w:r>
      <w:r>
        <w:t>ble qualité, tous étages (en pieds carrés)</w:t>
      </w:r>
    </w:p>
    <w:p w14:paraId="59C079BC" w14:textId="77777777" w:rsidR="00C87A59" w:rsidRDefault="00A75C5B">
      <w:pPr>
        <w:pStyle w:val="Corpsdetexte"/>
      </w:pPr>
      <w:r>
        <w:rPr>
          <w:b/>
          <w:bCs/>
        </w:rPr>
        <w:t>GrLivArea</w:t>
      </w:r>
      <w:r>
        <w:t xml:space="preserve"> : Superficie habitable au-dessus du niveau du sol (en pieds carrés)</w:t>
      </w:r>
    </w:p>
    <w:p w14:paraId="480B02EE" w14:textId="77777777" w:rsidR="00C87A59" w:rsidRDefault="00A75C5B">
      <w:pPr>
        <w:pStyle w:val="Corpsdetexte"/>
      </w:pPr>
      <w:r>
        <w:rPr>
          <w:b/>
          <w:bCs/>
        </w:rPr>
        <w:t>BedroomAbvGr</w:t>
      </w:r>
      <w:r>
        <w:t xml:space="preserve"> : Nombre de chambres au-dessus du niveau du sol (n’inclut pas les chambres du sous-sol)</w:t>
      </w:r>
    </w:p>
    <w:p w14:paraId="697C31EF" w14:textId="77777777" w:rsidR="00C87A59" w:rsidRDefault="00A75C5B">
      <w:pPr>
        <w:pStyle w:val="Corpsdetexte"/>
      </w:pPr>
      <w:r>
        <w:rPr>
          <w:b/>
          <w:bCs/>
        </w:rPr>
        <w:t>KitchenAbvGr</w:t>
      </w:r>
      <w:r>
        <w:t xml:space="preserve"> : Nombre de cuisines </w:t>
      </w:r>
      <w:r>
        <w:t>au-dessus du niveau du sol</w:t>
      </w:r>
    </w:p>
    <w:p w14:paraId="5C9496FB" w14:textId="77777777" w:rsidR="00C87A59" w:rsidRDefault="00A75C5B">
      <w:pPr>
        <w:pStyle w:val="Corpsdetexte"/>
      </w:pPr>
      <w:r>
        <w:rPr>
          <w:b/>
          <w:bCs/>
        </w:rPr>
        <w:t>TotRmsAbvGrd</w:t>
      </w:r>
      <w:r>
        <w:t xml:space="preserve"> : Nombre total de pièces au-dessus du niveau du sol (n’inclut pas les salles de bain)</w:t>
      </w:r>
    </w:p>
    <w:p w14:paraId="4B71105F" w14:textId="77777777" w:rsidR="00C87A59" w:rsidRDefault="00A75C5B">
      <w:r>
        <w:pict w14:anchorId="025732EE">
          <v:rect id="_x0000_i1027" style="width:0;height:1.5pt" o:hralign="center" o:hrstd="t" o:hr="t"/>
        </w:pict>
      </w:r>
    </w:p>
    <w:p w14:paraId="4B8DE9A6" w14:textId="77777777" w:rsidR="00C87A59" w:rsidRDefault="00A75C5B">
      <w:pPr>
        <w:pStyle w:val="Titre3"/>
      </w:pPr>
      <w:bookmarkStart w:id="5" w:name="qualité-et-condition"/>
      <w:bookmarkEnd w:id="4"/>
      <w:r>
        <w:lastRenderedPageBreak/>
        <w:t>Qualité et Condition</w:t>
      </w:r>
    </w:p>
    <w:p w14:paraId="1E4956AE" w14:textId="77777777" w:rsidR="00C87A59" w:rsidRDefault="00A75C5B">
      <w:pPr>
        <w:pStyle w:val="FirstParagraph"/>
      </w:pPr>
      <w:r>
        <w:rPr>
          <w:b/>
          <w:bCs/>
        </w:rPr>
        <w:t>OverallQual</w:t>
      </w:r>
      <w:r>
        <w:t xml:space="preserve"> : Évalue la qualité globale des matériaux et de la finition - 10 : Très Excellent - 9 : Excelle</w:t>
      </w:r>
      <w:r>
        <w:t>nt - 8 : Très Bon - 7 : Bon - 6 : Au-dessus de la moyenne - 5 : Moyen - 4 : En-dessous de la moyenne - 3 : Passable - 2 : Mauvais - 1 : Très Mauvais</w:t>
      </w:r>
    </w:p>
    <w:p w14:paraId="7E8F0EB9" w14:textId="77777777" w:rsidR="00C87A59" w:rsidRDefault="00A75C5B">
      <w:pPr>
        <w:pStyle w:val="Corpsdetexte"/>
      </w:pPr>
      <w:r>
        <w:rPr>
          <w:b/>
          <w:bCs/>
        </w:rPr>
        <w:t>OverallCond</w:t>
      </w:r>
      <w:r>
        <w:t xml:space="preserve"> : Évalue l’état général de la maison - 10 : Très Excellent - 9 : Excellent - 8 : Très Bon - 7 :</w:t>
      </w:r>
      <w:r>
        <w:t xml:space="preserve"> Bon - 6 : Au-dessus de la moyenne - 5 : Moyen - 4 : En-dessous de la moyenne - 3 : Passable - 2 : Mauvais - 1 : Très Mauvais</w:t>
      </w:r>
    </w:p>
    <w:p w14:paraId="5134D447" w14:textId="77777777" w:rsidR="00C87A59" w:rsidRDefault="00A75C5B">
      <w:pPr>
        <w:pStyle w:val="Corpsdetexte"/>
      </w:pPr>
      <w:r>
        <w:rPr>
          <w:b/>
          <w:bCs/>
        </w:rPr>
        <w:t>MasVnrArea</w:t>
      </w:r>
      <w:r>
        <w:t xml:space="preserve"> : Superficie du parement en maçonnerie (en pieds carrés)</w:t>
      </w:r>
    </w:p>
    <w:p w14:paraId="72C09868" w14:textId="77777777" w:rsidR="00C87A59" w:rsidRDefault="00A75C5B">
      <w:r>
        <w:pict w14:anchorId="6649968C">
          <v:rect id="_x0000_i1028" style="width:0;height:1.5pt" o:hralign="center" o:hrstd="t" o:hr="t"/>
        </w:pict>
      </w:r>
    </w:p>
    <w:p w14:paraId="61A3CE35" w14:textId="77777777" w:rsidR="00C87A59" w:rsidRDefault="00A75C5B">
      <w:pPr>
        <w:pStyle w:val="Titre3"/>
      </w:pPr>
      <w:bookmarkStart w:id="6" w:name="sous-sol"/>
      <w:bookmarkEnd w:id="5"/>
      <w:r>
        <w:t>Sous-sol</w:t>
      </w:r>
    </w:p>
    <w:p w14:paraId="642AADFB" w14:textId="77777777" w:rsidR="00C87A59" w:rsidRDefault="00A75C5B">
      <w:pPr>
        <w:pStyle w:val="FirstParagraph"/>
      </w:pPr>
      <w:r>
        <w:rPr>
          <w:b/>
          <w:bCs/>
        </w:rPr>
        <w:t>BsmtFinSF1</w:t>
      </w:r>
      <w:r>
        <w:t xml:space="preserve"> : Superficie finie de type 1 du sous-sol</w:t>
      </w:r>
      <w:r>
        <w:t xml:space="preserve"> (en pieds carrés)</w:t>
      </w:r>
    </w:p>
    <w:p w14:paraId="54615125" w14:textId="77777777" w:rsidR="00C87A59" w:rsidRDefault="00A75C5B">
      <w:pPr>
        <w:pStyle w:val="Corpsdetexte"/>
      </w:pPr>
      <w:r>
        <w:rPr>
          <w:b/>
          <w:bCs/>
        </w:rPr>
        <w:t>BsmtFinSF2</w:t>
      </w:r>
      <w:r>
        <w:t xml:space="preserve"> : Superficie finie de type 2 du sous-sol (en pieds carrés)</w:t>
      </w:r>
    </w:p>
    <w:p w14:paraId="3472E5EA" w14:textId="77777777" w:rsidR="00C87A59" w:rsidRDefault="00A75C5B">
      <w:pPr>
        <w:pStyle w:val="Corpsdetexte"/>
      </w:pPr>
      <w:r>
        <w:rPr>
          <w:b/>
          <w:bCs/>
        </w:rPr>
        <w:t>BsmtUnfSF</w:t>
      </w:r>
      <w:r>
        <w:t xml:space="preserve"> : Superficie non finie du sous-sol (en pieds carrés)</w:t>
      </w:r>
    </w:p>
    <w:p w14:paraId="36EB03F2" w14:textId="77777777" w:rsidR="00C87A59" w:rsidRDefault="00A75C5B">
      <w:pPr>
        <w:pStyle w:val="Corpsdetexte"/>
      </w:pPr>
      <w:r>
        <w:rPr>
          <w:b/>
          <w:bCs/>
        </w:rPr>
        <w:t>TotalBsmtSF</w:t>
      </w:r>
      <w:r>
        <w:t xml:space="preserve"> </w:t>
      </w:r>
      <w:r>
        <w:t>: Superficie totale du sous-sol (en pieds carrés)</w:t>
      </w:r>
    </w:p>
    <w:p w14:paraId="71032EC2" w14:textId="77777777" w:rsidR="00C87A59" w:rsidRDefault="00A75C5B">
      <w:pPr>
        <w:pStyle w:val="Corpsdetexte"/>
      </w:pPr>
      <w:r>
        <w:rPr>
          <w:b/>
          <w:bCs/>
        </w:rPr>
        <w:t>BsmtFullBath</w:t>
      </w:r>
      <w:r>
        <w:t xml:space="preserve"> : Nombre de salles de bain complètes au sous-sol</w:t>
      </w:r>
    </w:p>
    <w:p w14:paraId="2225AC22" w14:textId="77777777" w:rsidR="00C87A59" w:rsidRDefault="00A75C5B">
      <w:pPr>
        <w:pStyle w:val="Corpsdetexte"/>
      </w:pPr>
      <w:r>
        <w:rPr>
          <w:b/>
          <w:bCs/>
        </w:rPr>
        <w:t>BsmtHalfBath</w:t>
      </w:r>
      <w:r>
        <w:t xml:space="preserve"> : Nombre de demi-salles de bain au sous-sol</w:t>
      </w:r>
    </w:p>
    <w:p w14:paraId="1A495E4F" w14:textId="77777777" w:rsidR="00C87A59" w:rsidRDefault="00A75C5B">
      <w:r>
        <w:pict w14:anchorId="30215AA5">
          <v:rect id="_x0000_i1029" style="width:0;height:1.5pt" o:hralign="center" o:hrstd="t" o:hr="t"/>
        </w:pict>
      </w:r>
    </w:p>
    <w:p w14:paraId="0BB3BAE5" w14:textId="77777777" w:rsidR="00C87A59" w:rsidRDefault="00A75C5B">
      <w:pPr>
        <w:pStyle w:val="Titre3"/>
      </w:pPr>
      <w:bookmarkStart w:id="7" w:name="salles-de-bain"/>
      <w:bookmarkEnd w:id="6"/>
      <w:r>
        <w:t>Salles de bain</w:t>
      </w:r>
    </w:p>
    <w:p w14:paraId="09158D88" w14:textId="77777777" w:rsidR="00C87A59" w:rsidRDefault="00A75C5B">
      <w:pPr>
        <w:pStyle w:val="FirstParagraph"/>
      </w:pPr>
      <w:r>
        <w:rPr>
          <w:b/>
          <w:bCs/>
        </w:rPr>
        <w:t>FullBath</w:t>
      </w:r>
      <w:r>
        <w:t xml:space="preserve"> : Nombre de salles de bain complètes au-dessus du niveau du s</w:t>
      </w:r>
      <w:r>
        <w:t>ol</w:t>
      </w:r>
    </w:p>
    <w:p w14:paraId="1AE33F93" w14:textId="77777777" w:rsidR="00C87A59" w:rsidRDefault="00A75C5B">
      <w:pPr>
        <w:pStyle w:val="Corpsdetexte"/>
      </w:pPr>
      <w:r>
        <w:rPr>
          <w:b/>
          <w:bCs/>
        </w:rPr>
        <w:t>HalfBath</w:t>
      </w:r>
      <w:r>
        <w:t xml:space="preserve"> : Nombre de demi-salles de bain au-dessus du niveau du sol</w:t>
      </w:r>
    </w:p>
    <w:p w14:paraId="1B0AA17A" w14:textId="77777777" w:rsidR="00C87A59" w:rsidRDefault="00A75C5B">
      <w:r>
        <w:pict w14:anchorId="0A9F37FF">
          <v:rect id="_x0000_i1030" style="width:0;height:1.5pt" o:hralign="center" o:hrstd="t" o:hr="t"/>
        </w:pict>
      </w:r>
    </w:p>
    <w:p w14:paraId="01E18C35" w14:textId="77777777" w:rsidR="00C87A59" w:rsidRDefault="00A75C5B">
      <w:pPr>
        <w:pStyle w:val="Titre3"/>
      </w:pPr>
      <w:bookmarkStart w:id="8" w:name="garage"/>
      <w:bookmarkEnd w:id="7"/>
      <w:r>
        <w:t>Garage</w:t>
      </w:r>
    </w:p>
    <w:p w14:paraId="44CC7A49" w14:textId="77777777" w:rsidR="00C87A59" w:rsidRDefault="00A75C5B">
      <w:pPr>
        <w:pStyle w:val="FirstParagraph"/>
      </w:pPr>
      <w:r>
        <w:rPr>
          <w:b/>
          <w:bCs/>
        </w:rPr>
        <w:t>GarageYrBlt</w:t>
      </w:r>
      <w:r>
        <w:t xml:space="preserve"> : Année de construction du garage</w:t>
      </w:r>
    </w:p>
    <w:p w14:paraId="737C22BA" w14:textId="77777777" w:rsidR="00C87A59" w:rsidRDefault="00A75C5B">
      <w:pPr>
        <w:pStyle w:val="Corpsdetexte"/>
      </w:pPr>
      <w:r>
        <w:rPr>
          <w:b/>
          <w:bCs/>
        </w:rPr>
        <w:t>GarageCars</w:t>
      </w:r>
      <w:r>
        <w:t xml:space="preserve"> : Capacité du garage en nombre de voitures</w:t>
      </w:r>
    </w:p>
    <w:p w14:paraId="7C4D331A" w14:textId="77777777" w:rsidR="00C87A59" w:rsidRDefault="00A75C5B">
      <w:pPr>
        <w:pStyle w:val="Corpsdetexte"/>
      </w:pPr>
      <w:r>
        <w:rPr>
          <w:b/>
          <w:bCs/>
        </w:rPr>
        <w:t>GarageArea</w:t>
      </w:r>
      <w:r>
        <w:t xml:space="preserve"> </w:t>
      </w:r>
      <w:r>
        <w:t>: Superficie du garage (en pieds carrés)</w:t>
      </w:r>
    </w:p>
    <w:p w14:paraId="38AE5E43" w14:textId="77777777" w:rsidR="00C87A59" w:rsidRDefault="00A75C5B">
      <w:r>
        <w:pict w14:anchorId="1933F320">
          <v:rect id="_x0000_i1031" style="width:0;height:1.5pt" o:hralign="center" o:hrstd="t" o:hr="t"/>
        </w:pict>
      </w:r>
    </w:p>
    <w:p w14:paraId="146306E3" w14:textId="77777777" w:rsidR="00C87A59" w:rsidRDefault="00A75C5B">
      <w:pPr>
        <w:pStyle w:val="Titre3"/>
      </w:pPr>
      <w:bookmarkStart w:id="9" w:name="extérieur"/>
      <w:bookmarkEnd w:id="8"/>
      <w:r>
        <w:t>Extérieur</w:t>
      </w:r>
    </w:p>
    <w:p w14:paraId="360BDE13" w14:textId="77777777" w:rsidR="00C87A59" w:rsidRDefault="00A75C5B">
      <w:pPr>
        <w:pStyle w:val="FirstParagraph"/>
      </w:pPr>
      <w:r>
        <w:rPr>
          <w:b/>
          <w:bCs/>
        </w:rPr>
        <w:t>WoodDeckSF</w:t>
      </w:r>
      <w:r>
        <w:t xml:space="preserve"> : Superficie de la terrasse en bois (en pieds carrés)</w:t>
      </w:r>
    </w:p>
    <w:p w14:paraId="00534DCE" w14:textId="77777777" w:rsidR="00C87A59" w:rsidRDefault="00A75C5B">
      <w:pPr>
        <w:pStyle w:val="Corpsdetexte"/>
      </w:pPr>
      <w:r>
        <w:rPr>
          <w:b/>
          <w:bCs/>
        </w:rPr>
        <w:t>OpenPorchSF</w:t>
      </w:r>
      <w:r>
        <w:t xml:space="preserve"> : Superficie du porche ouvert (en pieds carrés)</w:t>
      </w:r>
    </w:p>
    <w:p w14:paraId="16DC9594" w14:textId="77777777" w:rsidR="00C87A59" w:rsidRDefault="00A75C5B">
      <w:pPr>
        <w:pStyle w:val="Corpsdetexte"/>
      </w:pPr>
      <w:r>
        <w:rPr>
          <w:b/>
          <w:bCs/>
        </w:rPr>
        <w:lastRenderedPageBreak/>
        <w:t>EnclosedPorch</w:t>
      </w:r>
      <w:r>
        <w:t xml:space="preserve"> : Superficie du porche fermé (en pieds carrés)</w:t>
      </w:r>
    </w:p>
    <w:p w14:paraId="27631C05" w14:textId="77777777" w:rsidR="00C87A59" w:rsidRDefault="00A75C5B">
      <w:pPr>
        <w:pStyle w:val="Corpsdetexte"/>
      </w:pPr>
      <w:r>
        <w:rPr>
          <w:b/>
          <w:bCs/>
        </w:rPr>
        <w:t>3SsnPorch</w:t>
      </w:r>
      <w:r>
        <w:t xml:space="preserve"> : Super</w:t>
      </w:r>
      <w:r>
        <w:t>ficie du porche trois saisons (en pieds carrés)</w:t>
      </w:r>
    </w:p>
    <w:p w14:paraId="2036B814" w14:textId="77777777" w:rsidR="00C87A59" w:rsidRDefault="00A75C5B">
      <w:pPr>
        <w:pStyle w:val="Corpsdetexte"/>
      </w:pPr>
      <w:r>
        <w:rPr>
          <w:b/>
          <w:bCs/>
        </w:rPr>
        <w:t>ScreenPorch</w:t>
      </w:r>
      <w:r>
        <w:t xml:space="preserve"> : Superficie du porche avec moustiquaire (en pieds carrés)</w:t>
      </w:r>
    </w:p>
    <w:p w14:paraId="6E408F29" w14:textId="77777777" w:rsidR="00C87A59" w:rsidRDefault="00A75C5B">
      <w:pPr>
        <w:pStyle w:val="Corpsdetexte"/>
      </w:pPr>
      <w:r>
        <w:rPr>
          <w:b/>
          <w:bCs/>
        </w:rPr>
        <w:t>PoolArea</w:t>
      </w:r>
      <w:r>
        <w:t xml:space="preserve"> : Superficie de la piscine (en pieds carrés)</w:t>
      </w:r>
    </w:p>
    <w:p w14:paraId="3DC10511" w14:textId="77777777" w:rsidR="00C87A59" w:rsidRDefault="00A75C5B">
      <w:r>
        <w:pict w14:anchorId="7902E305">
          <v:rect id="_x0000_i1032" style="width:0;height:1.5pt" o:hralign="center" o:hrstd="t" o:hr="t"/>
        </w:pict>
      </w:r>
    </w:p>
    <w:p w14:paraId="30EC29AE" w14:textId="77777777" w:rsidR="00C87A59" w:rsidRDefault="00A75C5B">
      <w:pPr>
        <w:pStyle w:val="Titre3"/>
      </w:pPr>
      <w:bookmarkStart w:id="10" w:name="divers"/>
      <w:bookmarkEnd w:id="9"/>
      <w:r>
        <w:t>Divers</w:t>
      </w:r>
    </w:p>
    <w:p w14:paraId="6F07BD24" w14:textId="77777777" w:rsidR="00C87A59" w:rsidRDefault="00A75C5B">
      <w:pPr>
        <w:pStyle w:val="FirstParagraph"/>
      </w:pPr>
      <w:r>
        <w:rPr>
          <w:b/>
          <w:bCs/>
        </w:rPr>
        <w:t>Fireplaces</w:t>
      </w:r>
      <w:r>
        <w:t xml:space="preserve"> : Nombre de cheminées</w:t>
      </w:r>
    </w:p>
    <w:p w14:paraId="16F0127B" w14:textId="77777777" w:rsidR="00C87A59" w:rsidRDefault="00A75C5B">
      <w:pPr>
        <w:pStyle w:val="Corpsdetexte"/>
      </w:pPr>
      <w:r>
        <w:rPr>
          <w:b/>
          <w:bCs/>
        </w:rPr>
        <w:t>MiscVal</w:t>
      </w:r>
      <w:r>
        <w:t xml:space="preserve"> : Valeur en dollars des caractéri</w:t>
      </w:r>
      <w:r>
        <w:t>stiques diverses</w:t>
      </w:r>
    </w:p>
    <w:p w14:paraId="1301AAAA" w14:textId="77777777" w:rsidR="00C87A59" w:rsidRDefault="00A75C5B">
      <w:r>
        <w:pict w14:anchorId="7ECC3332">
          <v:rect id="_x0000_i1033" style="width:0;height:1.5pt" o:hralign="center" o:hrstd="t" o:hr="t"/>
        </w:pict>
      </w:r>
    </w:p>
    <w:p w14:paraId="41FCF527" w14:textId="77777777" w:rsidR="00C87A59" w:rsidRDefault="00A75C5B">
      <w:pPr>
        <w:pStyle w:val="Titre3"/>
      </w:pPr>
      <w:bookmarkStart w:id="11" w:name="temporel"/>
      <w:bookmarkEnd w:id="10"/>
      <w:r>
        <w:t>Temporel</w:t>
      </w:r>
    </w:p>
    <w:p w14:paraId="2055B841" w14:textId="77777777" w:rsidR="00C87A59" w:rsidRDefault="00A75C5B">
      <w:pPr>
        <w:pStyle w:val="FirstParagraph"/>
      </w:pPr>
      <w:r>
        <w:rPr>
          <w:b/>
          <w:bCs/>
        </w:rPr>
        <w:t>YearBuilt</w:t>
      </w:r>
      <w:r>
        <w:t xml:space="preserve"> : Année de construction originale</w:t>
      </w:r>
    </w:p>
    <w:p w14:paraId="138A5C59" w14:textId="77777777" w:rsidR="00C87A59" w:rsidRDefault="00A75C5B">
      <w:pPr>
        <w:pStyle w:val="Corpsdetexte"/>
      </w:pPr>
      <w:r>
        <w:rPr>
          <w:b/>
          <w:bCs/>
        </w:rPr>
        <w:t>YearRemodAdd</w:t>
      </w:r>
      <w:r>
        <w:t xml:space="preserve"> : Année de rénovation (identique à l’année de construction si pas de rénovation)</w:t>
      </w:r>
    </w:p>
    <w:p w14:paraId="3E0587CA" w14:textId="77777777" w:rsidR="00C87A59" w:rsidRDefault="00A75C5B">
      <w:pPr>
        <w:pStyle w:val="Corpsdetexte"/>
      </w:pPr>
      <w:r>
        <w:rPr>
          <w:b/>
          <w:bCs/>
        </w:rPr>
        <w:t>MoSold</w:t>
      </w:r>
      <w:r>
        <w:t xml:space="preserve"> : Mois de vente (MM)</w:t>
      </w:r>
    </w:p>
    <w:p w14:paraId="753738D4" w14:textId="77777777" w:rsidR="00C87A59" w:rsidRDefault="00A75C5B">
      <w:pPr>
        <w:pStyle w:val="Corpsdetexte"/>
      </w:pPr>
      <w:r>
        <w:rPr>
          <w:b/>
          <w:bCs/>
        </w:rPr>
        <w:t>YrSold</w:t>
      </w:r>
      <w:r>
        <w:t xml:space="preserve"> : Année de vente (AAAA)</w:t>
      </w:r>
    </w:p>
    <w:p w14:paraId="628C2529" w14:textId="77777777" w:rsidR="00C87A59" w:rsidRDefault="00A75C5B">
      <w:r>
        <w:pict w14:anchorId="7AD4F315">
          <v:rect id="_x0000_i1034" style="width:0;height:1.5pt" o:hralign="center" o:hrstd="t" o:hr="t"/>
        </w:pict>
      </w:r>
    </w:p>
    <w:p w14:paraId="357A7162" w14:textId="77777777" w:rsidR="00C87A59" w:rsidRDefault="00A75C5B">
      <w:pPr>
        <w:pStyle w:val="Titre3"/>
      </w:pPr>
      <w:bookmarkStart w:id="12" w:name="variable-cible"/>
      <w:bookmarkEnd w:id="11"/>
      <w:r>
        <w:t>Variable Cible</w:t>
      </w:r>
    </w:p>
    <w:p w14:paraId="355C8E20" w14:textId="77777777" w:rsidR="00C87A59" w:rsidRDefault="00A75C5B">
      <w:pPr>
        <w:pStyle w:val="FirstParagraph"/>
      </w:pPr>
      <w:r>
        <w:rPr>
          <w:b/>
          <w:bCs/>
        </w:rPr>
        <w:t>SalePrice</w:t>
      </w:r>
      <w:r>
        <w:t xml:space="preserve"> : Prix de vente de la propriété en dollars (variable cible à prédire)</w:t>
      </w:r>
    </w:p>
    <w:p w14:paraId="3AC52D14" w14:textId="77777777" w:rsidR="00C87A59" w:rsidRDefault="00A75C5B">
      <w:r>
        <w:pict w14:anchorId="567E5873">
          <v:rect id="_x0000_i1035" style="width:0;height:1.5pt" o:hralign="center" o:hrstd="t" o:hr="t"/>
        </w:pict>
      </w:r>
    </w:p>
    <w:p w14:paraId="395F2EBC" w14:textId="77777777" w:rsidR="00C87A59" w:rsidRDefault="00A75C5B">
      <w:pPr>
        <w:pStyle w:val="Titre2"/>
      </w:pPr>
      <w:bookmarkStart w:id="13" w:name="variables-catégorielles"/>
      <w:bookmarkEnd w:id="2"/>
      <w:bookmarkEnd w:id="12"/>
      <w:r>
        <w:t>Variables Catégorielles</w:t>
      </w:r>
    </w:p>
    <w:p w14:paraId="1390AD4E" w14:textId="77777777" w:rsidR="00C87A59" w:rsidRDefault="00A75C5B">
      <w:pPr>
        <w:pStyle w:val="Titre3"/>
      </w:pPr>
      <w:bookmarkStart w:id="14" w:name="localisation"/>
      <w:r>
        <w:t>Localisation</w:t>
      </w:r>
    </w:p>
    <w:p w14:paraId="305535FF" w14:textId="77777777" w:rsidR="00C87A59" w:rsidRDefault="00A75C5B">
      <w:pPr>
        <w:pStyle w:val="FirstParagraph"/>
      </w:pPr>
      <w:r>
        <w:rPr>
          <w:b/>
          <w:bCs/>
        </w:rPr>
        <w:t>MSZoning</w:t>
      </w:r>
      <w:r>
        <w:t xml:space="preserve"> : Classification générale du zonage de la vente - A : Agriculture - C : Commercial - FV : Village résidentiel flottant - I : Ind</w:t>
      </w:r>
      <w:r>
        <w:t>ustriel - RH : Résidentiel haute densité - RL : Résidentiel basse densité - RP : Parc résidentiel basse densité - RM : Résidentiel densité moyenne</w:t>
      </w:r>
    </w:p>
    <w:p w14:paraId="50053501" w14:textId="77777777" w:rsidR="00C87A59" w:rsidRDefault="00A75C5B">
      <w:pPr>
        <w:pStyle w:val="Corpsdetexte"/>
      </w:pPr>
      <w:r>
        <w:rPr>
          <w:b/>
          <w:bCs/>
        </w:rPr>
        <w:t>Street</w:t>
      </w:r>
      <w:r>
        <w:t xml:space="preserve"> : Type d’accès routier à la propriété - Grvl : Gravier - Pave : Pavé</w:t>
      </w:r>
    </w:p>
    <w:p w14:paraId="72CF3822" w14:textId="77777777" w:rsidR="00C87A59" w:rsidRDefault="00A75C5B">
      <w:pPr>
        <w:pStyle w:val="Corpsdetexte"/>
      </w:pPr>
      <w:r>
        <w:rPr>
          <w:b/>
          <w:bCs/>
        </w:rPr>
        <w:t>Alley</w:t>
      </w:r>
      <w:r>
        <w:t xml:space="preserve"> : Type d’accès par allée à </w:t>
      </w:r>
      <w:r>
        <w:t>la propriété - Grvl : Gravier - Pave : Pavé - NA : Pas d’accès par allée</w:t>
      </w:r>
    </w:p>
    <w:p w14:paraId="12A96937" w14:textId="77777777" w:rsidR="00C87A59" w:rsidRDefault="00A75C5B">
      <w:pPr>
        <w:pStyle w:val="Corpsdetexte"/>
      </w:pPr>
      <w:r>
        <w:rPr>
          <w:b/>
          <w:bCs/>
        </w:rPr>
        <w:t>Neighborhood</w:t>
      </w:r>
      <w:r>
        <w:t xml:space="preserve"> : Emplacements physiques dans les limites de la ville d’Ames - Blmngtn : Bloomington Heights - Blueste : Bluestem - BrDale : Briardale - BrkSide : Brookside - </w:t>
      </w:r>
      <w:r>
        <w:lastRenderedPageBreak/>
        <w:t>ClearCr : C</w:t>
      </w:r>
      <w:r>
        <w:t>lear Creek - CollgCr : College Creek - Crawfor : Crawford - Edwards : Edwards - Gilbert : Gilbert - IDOTRR : Iowa DOT et Chemin de Fer - MeadowV : Meadow Village - Mitchel : Mitchell - Names : North Ames - NoRidge : Northridge - NPkVill : Northpark Villa -</w:t>
      </w:r>
      <w:r>
        <w:t xml:space="preserve"> NridgHt : Northridge Heights - NWAmes : Northwest Ames - OldTown : Old Town - SWISU : Sud et Ouest de l’Université d’État de l’Iowa - Sawyer : Sawyer - SawyerW : Sawyer West - Somerst : Somerset - StoneBr : Stone Brook - Timber : Timberland - Veenker : Ve</w:t>
      </w:r>
      <w:r>
        <w:t>enker</w:t>
      </w:r>
    </w:p>
    <w:p w14:paraId="08361603" w14:textId="77777777" w:rsidR="00C87A59" w:rsidRDefault="00A75C5B">
      <w:pPr>
        <w:pStyle w:val="Corpsdetexte"/>
      </w:pPr>
      <w:r>
        <w:rPr>
          <w:b/>
          <w:bCs/>
        </w:rPr>
        <w:t>Condition1</w:t>
      </w:r>
      <w:r>
        <w:t xml:space="preserve"> : Proximité à diverses conditions - Artery : Adjacent à une artère - Feedr : Adjacent à une route secondaire - Norm : Normal - RRNn : À moins de 200 pieds d’une voie ferrée Nord-Sud - RRAn : Adjacent à une voie ferrée Nord-Sud - PosN : Pro</w:t>
      </w:r>
      <w:r>
        <w:t>che d’une caractéristique positive hors site (parc, ceinture verte, etc.) - PosA : Adjacent à une caractéristique positive hors site - RRNe : À moins de 200 pieds d’une voie ferrée Est-Ouest - RRAe : Adjacent à une voie ferrée Est-Ouest</w:t>
      </w:r>
    </w:p>
    <w:p w14:paraId="1DF718F4" w14:textId="77777777" w:rsidR="00C87A59" w:rsidRDefault="00A75C5B">
      <w:pPr>
        <w:pStyle w:val="Corpsdetexte"/>
      </w:pPr>
      <w:r>
        <w:rPr>
          <w:b/>
          <w:bCs/>
        </w:rPr>
        <w:t>Condition2</w:t>
      </w:r>
      <w:r>
        <w:t xml:space="preserve"> : Proxim</w:t>
      </w:r>
      <w:r>
        <w:t>ité à diverses conditions (si plus d’une est présente) - Artery : Adjacent à une artère - Feedr : Adjacent à une route secondaire - Norm : Normal - RRNn : À moins de 200 pieds d’une voie ferrée Nord-Sud - RRAn : Adjacent à une voie ferrée Nord-Sud - PosN :</w:t>
      </w:r>
      <w:r>
        <w:t xml:space="preserve"> Proche d’une caractéristique positive hors site - PosA : Adjacent à une caractéristique positive hors site - RRNe : À moins de 200 pieds d’une voie ferrée Est-Ouest - RRAe : Adjacent à une voie ferrée Est-Ouest</w:t>
      </w:r>
    </w:p>
    <w:p w14:paraId="2B851465" w14:textId="77777777" w:rsidR="00C87A59" w:rsidRDefault="00A75C5B">
      <w:r>
        <w:pict w14:anchorId="48141C4D">
          <v:rect id="_x0000_i1036" style="width:0;height:1.5pt" o:hralign="center" o:hrstd="t" o:hr="t"/>
        </w:pict>
      </w:r>
    </w:p>
    <w:p w14:paraId="2B6C32AC" w14:textId="77777777" w:rsidR="00C87A59" w:rsidRDefault="00A75C5B">
      <w:pPr>
        <w:pStyle w:val="Titre3"/>
      </w:pPr>
      <w:bookmarkStart w:id="15" w:name="type-et-style"/>
      <w:bookmarkEnd w:id="14"/>
      <w:r>
        <w:t>Type et Style</w:t>
      </w:r>
    </w:p>
    <w:p w14:paraId="70E0AB00" w14:textId="77777777" w:rsidR="00C87A59" w:rsidRDefault="00A75C5B">
      <w:pPr>
        <w:pStyle w:val="FirstParagraph"/>
      </w:pPr>
      <w:r>
        <w:rPr>
          <w:b/>
          <w:bCs/>
        </w:rPr>
        <w:t>BldgType</w:t>
      </w:r>
      <w:r>
        <w:t xml:space="preserve"> </w:t>
      </w:r>
      <w:r>
        <w:t>: Type de logement - 1Fam : Maison unifamiliale détachée - 2FmCon : Conversion deux familles ; construite à l’origine comme maison unifamiliale - Duplx : Duplex - TwnhsE : Maison de ville unité d’extrémité - TwnhsI : Maison de ville unité intérieure</w:t>
      </w:r>
    </w:p>
    <w:p w14:paraId="760D19E1" w14:textId="77777777" w:rsidR="00C87A59" w:rsidRDefault="00A75C5B">
      <w:pPr>
        <w:pStyle w:val="Corpsdetexte"/>
      </w:pPr>
      <w:r>
        <w:rPr>
          <w:b/>
          <w:bCs/>
        </w:rPr>
        <w:t>HouseS</w:t>
      </w:r>
      <w:r>
        <w:rPr>
          <w:b/>
          <w:bCs/>
        </w:rPr>
        <w:t>tyle</w:t>
      </w:r>
      <w:r>
        <w:t xml:space="preserve"> : Style de logement - 1Story : Un étage - 1.5Fin : Un étage et demi : 2ème niveau fini - 1.5Unf : Un étage et demi : 2ème niveau non fini - 2Story : Deux étages - 2.5Fin : Deux étages et demi : 2ème niveau fini - 2.5Unf : Deux étages et demi : 2ème ni</w:t>
      </w:r>
      <w:r>
        <w:t>veau non fini - SFoyer : Foyer en contrebas (split foyer) - SLvl : Niveau séparé (split level)</w:t>
      </w:r>
    </w:p>
    <w:p w14:paraId="6FA6C8BE" w14:textId="77777777" w:rsidR="00C87A59" w:rsidRDefault="00A75C5B">
      <w:pPr>
        <w:pStyle w:val="Corpsdetexte"/>
      </w:pPr>
      <w:r>
        <w:rPr>
          <w:b/>
          <w:bCs/>
        </w:rPr>
        <w:t>RoofStyle</w:t>
      </w:r>
      <w:r>
        <w:t xml:space="preserve"> : Type de toit - Flat : Plat - Gable : À pignon - Gambrel : À croupe (grange) - Hip : En croupe - Mansard : Mansardé - Shed : Appentis</w:t>
      </w:r>
    </w:p>
    <w:p w14:paraId="6C70128A" w14:textId="77777777" w:rsidR="00C87A59" w:rsidRDefault="00A75C5B">
      <w:pPr>
        <w:pStyle w:val="Corpsdetexte"/>
      </w:pPr>
      <w:r>
        <w:rPr>
          <w:b/>
          <w:bCs/>
        </w:rPr>
        <w:t>RoofMatl</w:t>
      </w:r>
      <w:r>
        <w:t xml:space="preserve"> : Matér</w:t>
      </w:r>
      <w:r>
        <w:t>iau du toit - ClyTile : Tuile d’argile - CompShg : Bardeau standard (composite) - Membran : Membrane - Metal : Métal - Roll : Rouleau - Tar&amp;Grv : Gravier et goudron - WdShake : Bardeaux de bois - WdShngl : Bardeaux de bois</w:t>
      </w:r>
    </w:p>
    <w:p w14:paraId="2284192B" w14:textId="77777777" w:rsidR="00C87A59" w:rsidRDefault="00A75C5B">
      <w:pPr>
        <w:pStyle w:val="Corpsdetexte"/>
      </w:pPr>
      <w:r>
        <w:rPr>
          <w:b/>
          <w:bCs/>
        </w:rPr>
        <w:t>Exterior1st</w:t>
      </w:r>
      <w:r>
        <w:t xml:space="preserve"> : Revêtement extérieu</w:t>
      </w:r>
      <w:r>
        <w:t>r de la maison - AsbShng : Bardeaux d’amiante - AsphShn : Bardeaux d’asphalte - BrkComm : Brique commune - BrkFace : Brique de parement - CBlock : Bloc de ciment - CemntBd : Panneau de ciment - HdBoard : Panneau dur - ImStucc : Stuc imitation - MetalSd : R</w:t>
      </w:r>
      <w:r>
        <w:t>evêtement métallique - Other : Autre - Plywood : Contreplaqué - PreCast : Préfabriqué - Stone : Pierre - Stucco : Stuc - VinylSd : Revêtement vinyle - Wd Sdng : Revêtement en bois - WdShing : Bardeaux de bois</w:t>
      </w:r>
    </w:p>
    <w:p w14:paraId="40C642CA" w14:textId="77777777" w:rsidR="00C87A59" w:rsidRDefault="00A75C5B">
      <w:pPr>
        <w:pStyle w:val="Corpsdetexte"/>
      </w:pPr>
      <w:r>
        <w:rPr>
          <w:b/>
          <w:bCs/>
        </w:rPr>
        <w:lastRenderedPageBreak/>
        <w:t>Exterior2nd</w:t>
      </w:r>
      <w:r>
        <w:t xml:space="preserve"> : Revêtement extérieur de la maison</w:t>
      </w:r>
      <w:r>
        <w:t xml:space="preserve"> (si plus d’un matériau) - AsbShng : Bardeaux d’amiante - AsphShn : Bardeaux d’asphalte - BrkComm : Brique commune - BrkFace : Brique de parement - CBlock : Bloc de ciment - CemntBd : Panneau de ciment - HdBoard : Panneau dur - ImStucc : Stuc imitation - M</w:t>
      </w:r>
      <w:r>
        <w:t>etalSd : Revêtement métallique - Other : Autre - Plywood : Contreplaqué - PreCast : Préfabriqué - Stone : Pierre - Stucco : Stuc - VinylSd : Revêtement vinyle - Wd Sdng : Revêtement en bois - WdShing : Bardeaux de bois</w:t>
      </w:r>
    </w:p>
    <w:p w14:paraId="10FD13C1" w14:textId="77777777" w:rsidR="00C87A59" w:rsidRDefault="00A75C5B">
      <w:pPr>
        <w:pStyle w:val="Corpsdetexte"/>
      </w:pPr>
      <w:r>
        <w:rPr>
          <w:b/>
          <w:bCs/>
        </w:rPr>
        <w:t>MasVnrType</w:t>
      </w:r>
      <w:r>
        <w:t xml:space="preserve"> : Type de parement en maço</w:t>
      </w:r>
      <w:r>
        <w:t>nnerie - BrkCmn : Brique commune - BrkFace : Brique de parement - CBlock : Bloc de ciment - None : Aucun - Stone : Pierre</w:t>
      </w:r>
    </w:p>
    <w:p w14:paraId="57EB9AD2" w14:textId="77777777" w:rsidR="00C87A59" w:rsidRDefault="00A75C5B">
      <w:r>
        <w:pict w14:anchorId="468E9EB9">
          <v:rect id="_x0000_i1037" style="width:0;height:1.5pt" o:hralign="center" o:hrstd="t" o:hr="t"/>
        </w:pict>
      </w:r>
    </w:p>
    <w:p w14:paraId="049F3D9D" w14:textId="77777777" w:rsidR="00C87A59" w:rsidRDefault="00A75C5B">
      <w:pPr>
        <w:pStyle w:val="Titre3"/>
      </w:pPr>
      <w:bookmarkStart w:id="16" w:name="qualité-et-condition-1"/>
      <w:bookmarkEnd w:id="15"/>
      <w:r>
        <w:t>Qualité et Condition</w:t>
      </w:r>
    </w:p>
    <w:p w14:paraId="6C0B62E9" w14:textId="77777777" w:rsidR="00C87A59" w:rsidRDefault="00A75C5B">
      <w:pPr>
        <w:pStyle w:val="FirstParagraph"/>
      </w:pPr>
      <w:r>
        <w:rPr>
          <w:b/>
          <w:bCs/>
        </w:rPr>
        <w:t>LotShape</w:t>
      </w:r>
      <w:r>
        <w:t xml:space="preserve"> : Forme générale du terrain - Reg : Régulier - IR1 : Légèrement irrégulier - IR2 : Modérément irréguli</w:t>
      </w:r>
      <w:r>
        <w:t>er - IR3 : Irrégulier</w:t>
      </w:r>
    </w:p>
    <w:p w14:paraId="0BDE6B4D" w14:textId="77777777" w:rsidR="00C87A59" w:rsidRDefault="00A75C5B">
      <w:pPr>
        <w:pStyle w:val="Corpsdetexte"/>
      </w:pPr>
      <w:r>
        <w:rPr>
          <w:b/>
          <w:bCs/>
        </w:rPr>
        <w:t>LandContour</w:t>
      </w:r>
      <w:r>
        <w:t xml:space="preserve"> : Aplatissement du terrain - Lvl : Presque plat/niveau - Bnk : En pente - élévation rapide et significative de la rue au bâtiment - HLS : Colline - pente significative d’un côté à l’autre - Low : Dépression</w:t>
      </w:r>
    </w:p>
    <w:p w14:paraId="6EC716C0" w14:textId="77777777" w:rsidR="00C87A59" w:rsidRDefault="00A75C5B">
      <w:pPr>
        <w:pStyle w:val="Corpsdetexte"/>
      </w:pPr>
      <w:r>
        <w:rPr>
          <w:b/>
          <w:bCs/>
        </w:rPr>
        <w:t>Utilities</w:t>
      </w:r>
      <w:r>
        <w:t xml:space="preserve"> : Type de services publics disponibles - AllPub : Tous les services publics (Électricité, Gaz, Eau et Égouts) - NoSewr : Électricité, Gaz et Eau (Fosse septique) - NoSeWa : Électricité et Gaz seulement - ELO : Électricité seulement</w:t>
      </w:r>
    </w:p>
    <w:p w14:paraId="66C0C347" w14:textId="77777777" w:rsidR="00C87A59" w:rsidRDefault="00A75C5B">
      <w:pPr>
        <w:pStyle w:val="Corpsdetexte"/>
      </w:pPr>
      <w:r>
        <w:rPr>
          <w:b/>
          <w:bCs/>
        </w:rPr>
        <w:t>LotConfig</w:t>
      </w:r>
      <w:r>
        <w:t xml:space="preserve"> : Co</w:t>
      </w:r>
      <w:r>
        <w:t>nfiguration du terrain - Inside : Terrain intérieur - Corner : Terrain d’angle - CulDSac : Cul-de-sac - FR2 : Frontage sur 2 côtés de la propriété - FR3 : Frontage sur 3 côtés de la propriété</w:t>
      </w:r>
    </w:p>
    <w:p w14:paraId="0C105AA1" w14:textId="77777777" w:rsidR="00C87A59" w:rsidRDefault="00A75C5B">
      <w:pPr>
        <w:pStyle w:val="Corpsdetexte"/>
      </w:pPr>
      <w:r>
        <w:rPr>
          <w:b/>
          <w:bCs/>
        </w:rPr>
        <w:t>LandSlope</w:t>
      </w:r>
      <w:r>
        <w:t xml:space="preserve"> : Pente du terrain - Gtl : Pente douce - Mod : Pente m</w:t>
      </w:r>
      <w:r>
        <w:t>odérée - Sev : Pente sévère</w:t>
      </w:r>
    </w:p>
    <w:p w14:paraId="6A71922D" w14:textId="77777777" w:rsidR="00C87A59" w:rsidRDefault="00A75C5B">
      <w:pPr>
        <w:pStyle w:val="Corpsdetexte"/>
      </w:pPr>
      <w:r>
        <w:rPr>
          <w:b/>
          <w:bCs/>
        </w:rPr>
        <w:t>ExterQual</w:t>
      </w:r>
      <w:r>
        <w:t xml:space="preserve"> : Évalue la qualité du matériau à l’extérieur - Ex : Excellent - Gd : Bon - TA : Moyen/Typique - Fa : Passable - Po : Mauvais</w:t>
      </w:r>
    </w:p>
    <w:p w14:paraId="2201B153" w14:textId="77777777" w:rsidR="00C87A59" w:rsidRDefault="00A75C5B">
      <w:pPr>
        <w:pStyle w:val="Corpsdetexte"/>
      </w:pPr>
      <w:r>
        <w:rPr>
          <w:b/>
          <w:bCs/>
        </w:rPr>
        <w:t>ExterCond</w:t>
      </w:r>
      <w:r>
        <w:t xml:space="preserve"> : Évalue l’état actuel du matériau à l’extérieur - Ex : Excellent - Gd : Bon - TA </w:t>
      </w:r>
      <w:r>
        <w:t>: Moyen/Typique - Fa : Passable - Po : Mauvais</w:t>
      </w:r>
    </w:p>
    <w:p w14:paraId="35FC82FD" w14:textId="77777777" w:rsidR="00C87A59" w:rsidRDefault="00A75C5B">
      <w:pPr>
        <w:pStyle w:val="Corpsdetexte"/>
      </w:pPr>
      <w:r>
        <w:rPr>
          <w:b/>
          <w:bCs/>
        </w:rPr>
        <w:t>Foundation</w:t>
      </w:r>
      <w:r>
        <w:t xml:space="preserve"> : Type de fondation - BrkTil : Brique et tuile - CBlock : Bloc de ciment - PConc : Béton coulé - Slab : Dalle - Stone : Pierre - Wood : Bois</w:t>
      </w:r>
    </w:p>
    <w:p w14:paraId="3339E27A" w14:textId="77777777" w:rsidR="00C87A59" w:rsidRDefault="00A75C5B">
      <w:pPr>
        <w:pStyle w:val="Corpsdetexte"/>
      </w:pPr>
      <w:r>
        <w:rPr>
          <w:b/>
          <w:bCs/>
        </w:rPr>
        <w:t>BsmtQual</w:t>
      </w:r>
      <w:r>
        <w:t xml:space="preserve"> : Évalue la hauteur du sous-sol - Ex : Excellent</w:t>
      </w:r>
      <w:r>
        <w:t xml:space="preserve"> (100+ pouces) - Gd : Bon (90-99 pouces) - TA : Typique (80-89 pouces) - Fa : Passable (70-79 pouces) - Po : Mauvais (&lt;70 pouces) - NA : Pas de sous-sol</w:t>
      </w:r>
    </w:p>
    <w:p w14:paraId="4EB22F7F" w14:textId="77777777" w:rsidR="00C87A59" w:rsidRDefault="00A75C5B">
      <w:pPr>
        <w:pStyle w:val="Corpsdetexte"/>
      </w:pPr>
      <w:r>
        <w:rPr>
          <w:b/>
          <w:bCs/>
        </w:rPr>
        <w:t>BsmtCond</w:t>
      </w:r>
      <w:r>
        <w:t xml:space="preserve"> : Évalue l’état général du sous-sol - Ex : Excellent - Gd : Bon - TA : Typique - légère humidi</w:t>
      </w:r>
      <w:r>
        <w:t>té permise - Fa : Passable - humidité ou quelques fissures ou tassement - Po : Mauvais - Fissures sévères, tassement ou humidité - NA : Pas de sous-sol</w:t>
      </w:r>
    </w:p>
    <w:p w14:paraId="24D4F86D" w14:textId="77777777" w:rsidR="00C87A59" w:rsidRDefault="00A75C5B">
      <w:pPr>
        <w:pStyle w:val="Corpsdetexte"/>
      </w:pPr>
      <w:r>
        <w:rPr>
          <w:b/>
          <w:bCs/>
        </w:rPr>
        <w:t>BsmtExposure</w:t>
      </w:r>
      <w:r>
        <w:t xml:space="preserve"> : Fait référence aux murs de jardin ou de niveau - Gd : Bonne exposition - Av : Exposition </w:t>
      </w:r>
      <w:r>
        <w:t>moyenne (les niveaux séparés ou les foyers marquent généralement moyen ou plus) - Mn : Exposition minimale - No : Pas d’exposition - NA : Pas de sous-sol</w:t>
      </w:r>
    </w:p>
    <w:p w14:paraId="194B268C" w14:textId="77777777" w:rsidR="00C87A59" w:rsidRDefault="00A75C5B">
      <w:pPr>
        <w:pStyle w:val="Corpsdetexte"/>
      </w:pPr>
      <w:r>
        <w:rPr>
          <w:b/>
          <w:bCs/>
        </w:rPr>
        <w:lastRenderedPageBreak/>
        <w:t>BsmtFinType1</w:t>
      </w:r>
      <w:r>
        <w:t xml:space="preserve"> : Évaluation de la zone finie du sous-sol - GLQ : Bonnes conditions de vie - ALQ : Condit</w:t>
      </w:r>
      <w:r>
        <w:t>ions de vie moyennes - BLQ : Conditions de vie en-dessous de la moyenne - Rec : Salle de récréation moyenne - LwQ : Basse qualité - Unf : Non fini - NA : Pas de sous-sol</w:t>
      </w:r>
    </w:p>
    <w:p w14:paraId="73127E21" w14:textId="77777777" w:rsidR="00C87A59" w:rsidRDefault="00A75C5B">
      <w:pPr>
        <w:pStyle w:val="Corpsdetexte"/>
      </w:pPr>
      <w:r>
        <w:rPr>
          <w:b/>
          <w:bCs/>
        </w:rPr>
        <w:t>BsmtFinType2</w:t>
      </w:r>
      <w:r>
        <w:t xml:space="preserve"> : Évaluation de la zone finie du sous-sol (si plusieurs types) - GLQ : Bo</w:t>
      </w:r>
      <w:r>
        <w:t>nnes conditions de vie - ALQ : Conditions de vie moyennes - BLQ : Conditions de vie en-dessous de la moyenne - Rec : Salle de récréation moyenne - LwQ : Basse qualité - Unf : Non fini - NA : Pas de sous-sol</w:t>
      </w:r>
    </w:p>
    <w:p w14:paraId="277DBDD0" w14:textId="77777777" w:rsidR="00C87A59" w:rsidRDefault="00A75C5B">
      <w:pPr>
        <w:pStyle w:val="Corpsdetexte"/>
      </w:pPr>
      <w:r>
        <w:rPr>
          <w:b/>
          <w:bCs/>
        </w:rPr>
        <w:t>Heating</w:t>
      </w:r>
      <w:r>
        <w:t xml:space="preserve"> : Type de chauffage - Floor : Fournaise a</w:t>
      </w:r>
      <w:r>
        <w:t>u sol - GasA : Fournaise à air chaud forcé au gaz - GasW : Eau chaude ou vapeur au gaz - Grav : Fournaise à gravité - OthW : Eau chaude ou vapeur autre que gaz - Wall : Fournaise murale</w:t>
      </w:r>
    </w:p>
    <w:p w14:paraId="1DE797ED" w14:textId="77777777" w:rsidR="00C87A59" w:rsidRDefault="00A75C5B">
      <w:pPr>
        <w:pStyle w:val="Corpsdetexte"/>
      </w:pPr>
      <w:r>
        <w:rPr>
          <w:b/>
          <w:bCs/>
        </w:rPr>
        <w:t>HeatingQC</w:t>
      </w:r>
      <w:r>
        <w:t xml:space="preserve"> : Qualité et condition du chauffage - Ex : Excellent - Gd : </w:t>
      </w:r>
      <w:r>
        <w:t>Bon - TA : Moyen/Typique - Fa : Passable - Po : Mauvais</w:t>
      </w:r>
    </w:p>
    <w:p w14:paraId="58BC1DE3" w14:textId="77777777" w:rsidR="00C87A59" w:rsidRDefault="00A75C5B">
      <w:pPr>
        <w:pStyle w:val="Corpsdetexte"/>
      </w:pPr>
      <w:r>
        <w:rPr>
          <w:b/>
          <w:bCs/>
        </w:rPr>
        <w:t>CentralAir</w:t>
      </w:r>
      <w:r>
        <w:t xml:space="preserve"> : Climatisation centrale - N : Non - Y : Oui</w:t>
      </w:r>
    </w:p>
    <w:p w14:paraId="43D36F8C" w14:textId="77777777" w:rsidR="00C87A59" w:rsidRDefault="00A75C5B">
      <w:pPr>
        <w:pStyle w:val="Corpsdetexte"/>
      </w:pPr>
      <w:r>
        <w:rPr>
          <w:b/>
          <w:bCs/>
        </w:rPr>
        <w:t>Electrical</w:t>
      </w:r>
      <w:r>
        <w:t xml:space="preserve"> : Système électrique - SBrkr : Disjoncteurs standard et Romex - FuseA : Boîte à fusibles de plus de 60 AMP et câblage Romex (Moyen) -</w:t>
      </w:r>
      <w:r>
        <w:t xml:space="preserve"> FuseF : Boîte à fusibles 60 AMP et principalement câblage Romex (Passable) - FuseP : Boîte à fusibles 60 AMP et principalement câblage à boutons et tubes (mauvais) - Mix : Mixte</w:t>
      </w:r>
    </w:p>
    <w:p w14:paraId="216B1EC9" w14:textId="77777777" w:rsidR="00C87A59" w:rsidRDefault="00A75C5B">
      <w:pPr>
        <w:pStyle w:val="Corpsdetexte"/>
      </w:pPr>
      <w:r>
        <w:rPr>
          <w:b/>
          <w:bCs/>
        </w:rPr>
        <w:t>KitchenQual</w:t>
      </w:r>
      <w:r>
        <w:t xml:space="preserve"> : Qualité de la cuisine - Ex : Excellent - Gd : Bon - TA : Typiqu</w:t>
      </w:r>
      <w:r>
        <w:t>e/Moyen - Fa : Passable - Po : Mauvais</w:t>
      </w:r>
    </w:p>
    <w:p w14:paraId="2588BF17" w14:textId="77777777" w:rsidR="00C87A59" w:rsidRDefault="00A75C5B">
      <w:pPr>
        <w:pStyle w:val="Corpsdetexte"/>
      </w:pPr>
      <w:r>
        <w:rPr>
          <w:b/>
          <w:bCs/>
        </w:rPr>
        <w:t>Functional</w:t>
      </w:r>
      <w:r>
        <w:t xml:space="preserve"> : Fonctionnalité de la maison (suppose typique sauf déductions justifiées) - Typ : Fonctionnalité typique - Min1 : Déductions mineures 1 - Min2 : Déductions mineures 2 - Mod : Déductions modérées - Maj1 : D</w:t>
      </w:r>
      <w:r>
        <w:t>éductions majeures 1 - Maj2 : Déductions majeures 2 - Sev : Sévèrement endommagé - Sal : Récupération seulement</w:t>
      </w:r>
    </w:p>
    <w:p w14:paraId="0A17A66E" w14:textId="77777777" w:rsidR="00C87A59" w:rsidRDefault="00A75C5B">
      <w:pPr>
        <w:pStyle w:val="Corpsdetexte"/>
      </w:pPr>
      <w:r>
        <w:rPr>
          <w:b/>
          <w:bCs/>
        </w:rPr>
        <w:t>FireplaceQu</w:t>
      </w:r>
      <w:r>
        <w:t xml:space="preserve"> : Qualité de la cheminée - Ex : Excellent - Cheminée en maçonnerie exceptionnelle - Gd : Bon - Cheminée en maçonnerie au niveau prin</w:t>
      </w:r>
      <w:r>
        <w:t>cipal - TA : Moyen - Cheminée préfabriquée dans le salon principal ou cheminée en maçonnerie au sous-sol - Fa : Passable - Cheminée préfabriquée au sous-sol - Po : Mauvais - Poêle Ben Franklin - NA : Pas de cheminée</w:t>
      </w:r>
    </w:p>
    <w:p w14:paraId="485891F8" w14:textId="77777777" w:rsidR="00C87A59" w:rsidRDefault="00A75C5B">
      <w:pPr>
        <w:pStyle w:val="Corpsdetexte"/>
      </w:pPr>
      <w:r>
        <w:rPr>
          <w:b/>
          <w:bCs/>
        </w:rPr>
        <w:t>GarageType</w:t>
      </w:r>
      <w:r>
        <w:t xml:space="preserve"> : Emplacement du garage - 2Ty</w:t>
      </w:r>
      <w:r>
        <w:t>pes : Plus d’un type de garage - Attchd : Attaché à la maison - Basment : Garage au sous-sol - BuiltIn : Intégré (garage faisant partie de la maison - a généralement une pièce au-dessus) - CarPort : Abri voiture - Detchd : Détaché de la maison - NA : Pas d</w:t>
      </w:r>
      <w:r>
        <w:t>e garage</w:t>
      </w:r>
    </w:p>
    <w:p w14:paraId="08E49FEE" w14:textId="77777777" w:rsidR="00C87A59" w:rsidRDefault="00A75C5B">
      <w:pPr>
        <w:pStyle w:val="Corpsdetexte"/>
      </w:pPr>
      <w:r>
        <w:rPr>
          <w:b/>
          <w:bCs/>
        </w:rPr>
        <w:t>GarageFinish</w:t>
      </w:r>
      <w:r>
        <w:t xml:space="preserve"> : Finition intérieure du garage - Fin : Fini - RFn : Fini rugueux - Unf : Non fini - NA : Pas de garage</w:t>
      </w:r>
    </w:p>
    <w:p w14:paraId="45D80FDA" w14:textId="77777777" w:rsidR="00C87A59" w:rsidRDefault="00A75C5B">
      <w:pPr>
        <w:pStyle w:val="Corpsdetexte"/>
      </w:pPr>
      <w:r>
        <w:rPr>
          <w:b/>
          <w:bCs/>
        </w:rPr>
        <w:t>GarageQual</w:t>
      </w:r>
      <w:r>
        <w:t xml:space="preserve"> : Qualité du garage - Ex : Excellent - Gd : Bon - TA : Typique/Moyen - Fa : Passable - Po : Mauvais </w:t>
      </w:r>
      <w:r>
        <w:t>- NA : Pas de garage</w:t>
      </w:r>
    </w:p>
    <w:p w14:paraId="0CE50659" w14:textId="77777777" w:rsidR="00C87A59" w:rsidRDefault="00A75C5B">
      <w:pPr>
        <w:pStyle w:val="Corpsdetexte"/>
      </w:pPr>
      <w:r>
        <w:rPr>
          <w:b/>
          <w:bCs/>
        </w:rPr>
        <w:t>GarageCond</w:t>
      </w:r>
      <w:r>
        <w:t xml:space="preserve"> : État du garage - Ex : Excellent - Gd : Bon - TA : Typique/Moyen - Fa : Passable - Po : Mauvais - NA : Pas de garage</w:t>
      </w:r>
    </w:p>
    <w:p w14:paraId="49314A3D" w14:textId="77777777" w:rsidR="00C87A59" w:rsidRDefault="00A75C5B">
      <w:pPr>
        <w:pStyle w:val="Corpsdetexte"/>
      </w:pPr>
      <w:r>
        <w:rPr>
          <w:b/>
          <w:bCs/>
        </w:rPr>
        <w:lastRenderedPageBreak/>
        <w:t>PavedDrive</w:t>
      </w:r>
      <w:r>
        <w:t xml:space="preserve"> : Allée pavée - Y : Pavé - P : Pavage partiel - N : Terre/Gravier</w:t>
      </w:r>
    </w:p>
    <w:p w14:paraId="02F9F210" w14:textId="77777777" w:rsidR="00C87A59" w:rsidRDefault="00A75C5B">
      <w:pPr>
        <w:pStyle w:val="Corpsdetexte"/>
      </w:pPr>
      <w:r>
        <w:rPr>
          <w:b/>
          <w:bCs/>
        </w:rPr>
        <w:t>PoolQC</w:t>
      </w:r>
      <w:r>
        <w:t xml:space="preserve"> : Qualité de la piscin</w:t>
      </w:r>
      <w:r>
        <w:t>e - Ex : Excellent - Gd : Bon - TA : Moyen/Typique - Fa : Passable - NA : Pas de piscine</w:t>
      </w:r>
    </w:p>
    <w:p w14:paraId="49C7F281" w14:textId="77777777" w:rsidR="00C87A59" w:rsidRDefault="00A75C5B">
      <w:pPr>
        <w:pStyle w:val="Corpsdetexte"/>
      </w:pPr>
      <w:r>
        <w:rPr>
          <w:b/>
          <w:bCs/>
        </w:rPr>
        <w:t>Fence</w:t>
      </w:r>
      <w:r>
        <w:t xml:space="preserve"> : Qualité de la clôture - GdPrv : Bonne intimité - MnPrv : Intimité minimale - GdWo : Bon bois - MnWw : Bois/Fil minimum - NA : Pas de clôture</w:t>
      </w:r>
    </w:p>
    <w:p w14:paraId="16AF1C87" w14:textId="77777777" w:rsidR="00C87A59" w:rsidRDefault="00A75C5B">
      <w:pPr>
        <w:pStyle w:val="Corpsdetexte"/>
      </w:pPr>
      <w:r>
        <w:rPr>
          <w:b/>
          <w:bCs/>
        </w:rPr>
        <w:t>MiscFeature</w:t>
      </w:r>
      <w:r>
        <w:t xml:space="preserve"> : Cara</w:t>
      </w:r>
      <w:r>
        <w:t>ctéristique diverse non couverte dans d’autres catégories - Elev : Ascenseur - Gar2 : 2ème garage (si non décrit dans la section garage) - Othr : Autre - Shed : Hangar (plus de 100 pi²) - TenC : Court de tennis - NA : Aucun</w:t>
      </w:r>
    </w:p>
    <w:p w14:paraId="56E63378" w14:textId="77777777" w:rsidR="00C87A59" w:rsidRDefault="00A75C5B">
      <w:r>
        <w:pict w14:anchorId="686BF67F">
          <v:rect id="_x0000_i1038" style="width:0;height:1.5pt" o:hralign="center" o:hrstd="t" o:hr="t"/>
        </w:pict>
      </w:r>
    </w:p>
    <w:p w14:paraId="585166EC" w14:textId="77777777" w:rsidR="00C87A59" w:rsidRDefault="00A75C5B">
      <w:pPr>
        <w:pStyle w:val="Titre3"/>
      </w:pPr>
      <w:bookmarkStart w:id="17" w:name="transaction"/>
      <w:bookmarkEnd w:id="16"/>
      <w:r>
        <w:t>Transaction</w:t>
      </w:r>
    </w:p>
    <w:p w14:paraId="45E64DE4" w14:textId="77777777" w:rsidR="00C87A59" w:rsidRDefault="00A75C5B">
      <w:pPr>
        <w:pStyle w:val="FirstParagraph"/>
      </w:pPr>
      <w:r>
        <w:rPr>
          <w:b/>
          <w:bCs/>
        </w:rPr>
        <w:t>SaleType</w:t>
      </w:r>
      <w:r>
        <w:t xml:space="preserve"> </w:t>
      </w:r>
      <w:r>
        <w:t>: Type de vente - WD : Acte de garantie - Conventionnel - CWD : Acte de garantie - Comptant - VWD : Acte de garantie - Prêt VA - New : Maison nouvellement construite et vendue - COD : Acte d’officier de justice/Succession - Con : Contrat 15% d’acompte cond</w:t>
      </w:r>
      <w:r>
        <w:t>itions régulières - ConLw : Contrat faible acompte et faible intérêt - ConLI : Contrat faible intérêt - ConLD : Contrat faible acompte - Oth : Autre</w:t>
      </w:r>
    </w:p>
    <w:p w14:paraId="2F46FBB8" w14:textId="77777777" w:rsidR="00C87A59" w:rsidRDefault="00A75C5B">
      <w:pPr>
        <w:pStyle w:val="Corpsdetexte"/>
      </w:pPr>
      <w:r>
        <w:rPr>
          <w:b/>
          <w:bCs/>
        </w:rPr>
        <w:t>SaleCondition</w:t>
      </w:r>
      <w:r>
        <w:t xml:space="preserve"> : Condition de vente - Normal : Vente normale - Abnorml : Vente anormale - échange, saisie, v</w:t>
      </w:r>
      <w:r>
        <w:t>ente à découvert - AdjLand : Achat de terrain adjacent - Alloca : Allocation - deux propriétés liées avec actes séparés, généralement condo avec unité garage - Family : Vente entre membres de la famille - Partial : Maison non terminée lors de la dernière é</w:t>
      </w:r>
      <w:r>
        <w:t>valuation (associé aux maisons neuves)</w:t>
      </w:r>
    </w:p>
    <w:p w14:paraId="51339E28" w14:textId="77777777" w:rsidR="00C87A59" w:rsidRDefault="00A75C5B">
      <w:r>
        <w:pict w14:anchorId="10DC576E">
          <v:rect id="_x0000_i1039" style="width:0;height:1.5pt" o:hralign="center" o:hrstd="t" o:hr="t"/>
        </w:pict>
      </w:r>
    </w:p>
    <w:p w14:paraId="444735FA" w14:textId="77777777" w:rsidR="00C87A59" w:rsidRDefault="00A75C5B">
      <w:pPr>
        <w:pStyle w:val="Titre2"/>
      </w:pPr>
      <w:bookmarkStart w:id="18" w:name="notes"/>
      <w:bookmarkEnd w:id="13"/>
      <w:bookmarkEnd w:id="17"/>
      <w:r>
        <w:t>Notes</w:t>
      </w:r>
    </w:p>
    <w:p w14:paraId="7AEEA2AA" w14:textId="77777777" w:rsidR="00C87A59" w:rsidRDefault="00A75C5B">
      <w:pPr>
        <w:pStyle w:val="Compact"/>
        <w:numPr>
          <w:ilvl w:val="0"/>
          <w:numId w:val="2"/>
        </w:numPr>
      </w:pPr>
      <w:r>
        <w:t>Les valeurs “NA” indiquent généralement l’absence de la caractéristique (pas de garage, pas de sous-sol, etc.)</w:t>
      </w:r>
    </w:p>
    <w:p w14:paraId="2FE354B6" w14:textId="77777777" w:rsidR="00C87A59" w:rsidRDefault="00A75C5B">
      <w:pPr>
        <w:pStyle w:val="Compact"/>
        <w:numPr>
          <w:ilvl w:val="0"/>
          <w:numId w:val="2"/>
        </w:numPr>
      </w:pPr>
      <w:r>
        <w:t>Les mesures sont en pieds (feet) et pieds carrés (square feet) selon le système impérial américain</w:t>
      </w:r>
    </w:p>
    <w:p w14:paraId="3F3594D2" w14:textId="77777777" w:rsidR="00C87A59" w:rsidRDefault="00A75C5B">
      <w:pPr>
        <w:pStyle w:val="Compact"/>
        <w:numPr>
          <w:ilvl w:val="0"/>
          <w:numId w:val="2"/>
        </w:numPr>
      </w:pPr>
      <w:r>
        <w:t>1 pied = 0,3048 mètre</w:t>
      </w:r>
    </w:p>
    <w:p w14:paraId="059B19CE" w14:textId="77777777" w:rsidR="00C87A59" w:rsidRDefault="00A75C5B">
      <w:pPr>
        <w:pStyle w:val="Compact"/>
        <w:numPr>
          <w:ilvl w:val="0"/>
          <w:numId w:val="2"/>
        </w:numPr>
      </w:pPr>
      <w:r>
        <w:t>1 pied carré = 0,0929 mètre carré</w:t>
      </w:r>
      <w:bookmarkEnd w:id="0"/>
      <w:bookmarkEnd w:id="18"/>
    </w:p>
    <w:sectPr w:rsidR="00C87A59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C6A64" w14:textId="77777777" w:rsidR="00A75C5B" w:rsidRDefault="00A75C5B">
      <w:pPr>
        <w:spacing w:after="0"/>
      </w:pPr>
      <w:r>
        <w:separator/>
      </w:r>
    </w:p>
  </w:endnote>
  <w:endnote w:type="continuationSeparator" w:id="0">
    <w:p w14:paraId="4A843E49" w14:textId="77777777" w:rsidR="00A75C5B" w:rsidRDefault="00A75C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7181C" w14:textId="77777777" w:rsidR="00A75C5B" w:rsidRDefault="00A75C5B">
      <w:r>
        <w:separator/>
      </w:r>
    </w:p>
  </w:footnote>
  <w:footnote w:type="continuationSeparator" w:id="0">
    <w:p w14:paraId="5D3BCCBC" w14:textId="77777777" w:rsidR="00A75C5B" w:rsidRDefault="00A75C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16083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47AE2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A59"/>
    <w:rsid w:val="00135F06"/>
    <w:rsid w:val="006345C0"/>
    <w:rsid w:val="009B00AD"/>
    <w:rsid w:val="00A75C5B"/>
    <w:rsid w:val="00C8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2E8E"/>
  <w15:docId w15:val="{D2A1A0F4-6726-4C95-B1BA-29BEEF57E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2268</Words>
  <Characters>12475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MISTALENGAR DJERAKEI</cp:lastModifiedBy>
  <cp:revision>3</cp:revision>
  <dcterms:created xsi:type="dcterms:W3CDTF">2026-01-02T11:59:00Z</dcterms:created>
  <dcterms:modified xsi:type="dcterms:W3CDTF">2026-01-02T12:27:00Z</dcterms:modified>
</cp:coreProperties>
</file>