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d9488"/>
          <w:sz w:val="16"/>
          <w:szCs w:val="16"/>
        </w:rPr>
        <w:t xml:space="preserve">COSHH RISK ASSESSMENT</w:t>
      </w:r>
    </w:p>
    <w:p>
      <w:pPr>
        <w:spacing w:after="60"/>
      </w:pPr>
      <w:r>
        <w:rPr>
          <w:rFonts w:ascii="Calibri" w:cs="Calibri" w:eastAsia="Calibri" w:hAnsi="Calibri"/>
          <w:b/>
          <w:bCs/>
          <w:color w:val="0f172a"/>
          <w:sz w:val="48"/>
          <w:szCs w:val="48"/>
        </w:rPr>
        <w:t xml:space="preserve">Mixed chemical bench preparation</w:t>
      </w:r>
    </w:p>
    <w:p>
      <w:pPr>
        <w:pBdr>
          <w:bottom w:val="single" w:color="0d9488" w:sz="12"/>
        </w:pBdr>
        <w:spacing w:after="240"/>
      </w:pPr>
      <w:r>
        <w:rPr>
          <w:rFonts w:ascii="Calibri" w:cs="Calibri" w:eastAsia="Calibri" w:hAnsi="Calibri"/>
          <w:color w:val="64748b"/>
          <w:sz w:val="22"/>
          <w:szCs w:val="22"/>
        </w:rPr>
        <w:t xml:space="preserve">Research Lab</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rPr>
          <w:trHeight w:val="600" w:hRule="atLeast"/>
        </w:trPr>
        <w:tc>
          <w:tcPr>
            <w:tcMar>
              <w:top w:type="dxa" w:w="80"/>
              <w:left w:type="dxa" w:w="120"/>
              <w:bottom w:type="dxa" w:w="80"/>
              <w:right w:type="dxa" w:w="120"/>
            </w:tcMar>
          </w:tcPr>
          <w:p>
            <w:pPr>
              <w:spacing w:after="40"/>
            </w:pPr>
            <w:r>
              <w:rPr>
                <w:rFonts w:ascii="Calibri" w:cs="Calibri" w:eastAsia="Calibri" w:hAnsi="Calibri"/>
                <w:b/>
                <w:bCs/>
                <w:color w:val="64748b"/>
                <w:sz w:val="14"/>
                <w:szCs w:val="14"/>
              </w:rPr>
              <w:t xml:space="preserve">REF</w:t>
            </w:r>
          </w:p>
          <w:p>
            <w:r>
              <w:rPr>
                <w:rFonts w:ascii="Calibri" w:cs="Calibri" w:eastAsia="Calibri" w:hAnsi="Calibri"/>
                <w:b/>
                <w:bCs/>
                <w:color w:val="0f172a"/>
                <w:sz w:val="20"/>
                <w:szCs w:val="20"/>
              </w:rPr>
              <w:t xml:space="preserve">CAT-PW-001</w:t>
            </w:r>
          </w:p>
        </w:tc>
        <w:tc>
          <w:tcPr>
            <w:tcMar>
              <w:top w:type="dxa" w:w="80"/>
              <w:left w:type="dxa" w:w="120"/>
              <w:bottom w:type="dxa" w:w="80"/>
              <w:right w:type="dxa" w:w="120"/>
            </w:tcMar>
          </w:tcPr>
          <w:p>
            <w:pPr>
              <w:spacing w:after="40"/>
            </w:pPr>
            <w:r>
              <w:rPr>
                <w:rFonts w:ascii="Calibri" w:cs="Calibri" w:eastAsia="Calibri" w:hAnsi="Calibri"/>
                <w:b/>
                <w:bCs/>
                <w:color w:val="64748b"/>
                <w:sz w:val="14"/>
                <w:szCs w:val="14"/>
              </w:rPr>
              <w:t xml:space="preserve">ASSESSOR</w:t>
            </w:r>
          </w:p>
          <w:p>
            <w:r>
              <w:rPr>
                <w:rFonts w:ascii="Calibri" w:cs="Calibri" w:eastAsia="Calibri" w:hAnsi="Calibri"/>
                <w:b/>
                <w:bCs/>
                <w:color w:val="0f172a"/>
                <w:sz w:val="20"/>
                <w:szCs w:val="20"/>
              </w:rPr>
              <w:t xml:space="preserve">David Kemp</w:t>
            </w:r>
          </w:p>
        </w:tc>
        <w:tc>
          <w:tcPr>
            <w:tcMar>
              <w:top w:type="dxa" w:w="80"/>
              <w:left w:type="dxa" w:w="120"/>
              <w:bottom w:type="dxa" w:w="80"/>
              <w:right w:type="dxa" w:w="120"/>
            </w:tcMar>
          </w:tcPr>
          <w:p>
            <w:pPr>
              <w:spacing w:after="40"/>
            </w:pPr>
            <w:r>
              <w:rPr>
                <w:rFonts w:ascii="Calibri" w:cs="Calibri" w:eastAsia="Calibri" w:hAnsi="Calibri"/>
                <w:b/>
                <w:bCs/>
                <w:color w:val="64748b"/>
                <w:sz w:val="14"/>
                <w:szCs w:val="14"/>
              </w:rPr>
              <w:t xml:space="preserve">ASSESSED</w:t>
            </w:r>
          </w:p>
          <w:p>
            <w:r>
              <w:rPr>
                <w:rFonts w:ascii="Calibri" w:cs="Calibri" w:eastAsia="Calibri" w:hAnsi="Calibri"/>
                <w:b/>
                <w:bCs/>
                <w:color w:val="0f172a"/>
                <w:sz w:val="20"/>
                <w:szCs w:val="20"/>
              </w:rPr>
              <w:t xml:space="preserve">2026-05-30</w:t>
            </w:r>
          </w:p>
        </w:tc>
        <w:tc>
          <w:tcPr>
            <w:tcMar>
              <w:top w:type="dxa" w:w="80"/>
              <w:left w:type="dxa" w:w="120"/>
              <w:bottom w:type="dxa" w:w="80"/>
              <w:right w:type="dxa" w:w="120"/>
            </w:tcMar>
          </w:tcPr>
          <w:p>
            <w:pPr>
              <w:spacing w:after="40"/>
            </w:pPr>
            <w:r>
              <w:rPr>
                <w:rFonts w:ascii="Calibri" w:cs="Calibri" w:eastAsia="Calibri" w:hAnsi="Calibri"/>
                <w:b/>
                <w:bCs/>
                <w:color w:val="64748b"/>
                <w:sz w:val="14"/>
                <w:szCs w:val="14"/>
              </w:rPr>
              <w:t xml:space="preserve">NEXT REVIEW</w:t>
            </w:r>
          </w:p>
          <w:p>
            <w:r>
              <w:rPr>
                <w:rFonts w:ascii="Calibri" w:cs="Calibri" w:eastAsia="Calibri" w:hAnsi="Calibri"/>
                <w:b/>
                <w:bCs/>
                <w:color w:val="0f172a"/>
                <w:sz w:val="20"/>
                <w:szCs w:val="20"/>
              </w:rPr>
              <w:t xml:space="preserve">2027-05-30</w:t>
            </w:r>
          </w:p>
        </w:tc>
      </w:tr>
    </w:tbl>
    <w:p>
      <w:pPr>
        <w:spacing w:after="0" w:before="200"/>
      </w:pPr>
      <w:r>
        <w:rPr>
          <w:rFonts w:ascii="Calibri" w:cs="Calibri" w:eastAsia="Calibri" w:hAnsi="Calibri"/>
          <w:i/>
          <w:iCs/>
          <w:color w:val="64748b"/>
          <w:sz w:val="18"/>
          <w:szCs w:val="18"/>
        </w:rPr>
        <w:t xml:space="preserve">Generated May 31, 2026 with CAT — COSHH Assessment Tool</w:t>
      </w:r>
    </w:p>
    <w:p>
      <w:r>
        <w:br w:type="page"/>
      </w:r>
    </w:p>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01   OVERVIEW</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Business Unit</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Research Lab</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Location</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Chemistry prep room</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Risk Assessor</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David Kemp</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SOP Ref number(s)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SOP-CHEM-015</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Date of Assessment</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2026-05-30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Date of Review</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2027-05-30</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Persons at Risk</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Staff, Students</w:t>
            </w:r>
          </w:p>
        </w:tc>
      </w:tr>
    </w:tbl>
    <w:p>
      <w:pPr>
        <w:spacing w:after="120"/>
      </w:pPr>
    </w:p>
    <w:p>
      <w:pPr>
        <w:spacing w:after="60" w:before="0"/>
      </w:pPr>
      <w:r>
        <w:rPr>
          <w:rFonts w:ascii="Calibri" w:cs="Calibri" w:eastAsia="Calibri" w:hAnsi="Calibri"/>
          <w:b/>
          <w:bCs/>
          <w:color w:val="64748b"/>
          <w:sz w:val="18"/>
          <w:szCs w:val="18"/>
        </w:rPr>
        <w:t xml:space="preserve">Activity Outline</w:t>
      </w:r>
    </w:p>
    <w:p>
      <w:pPr>
        <w:spacing w:after="60" w:before="0"/>
      </w:pPr>
      <w:r>
        <w:rPr>
          <w:rFonts w:ascii="Calibri" w:cs="Calibri" w:eastAsia="Calibri" w:hAnsi="Calibri"/>
          <w:color w:val="0f172a"/>
          <w:sz w:val="20"/>
          <w:szCs w:val="20"/>
        </w:rPr>
        <w:t xml:space="preserve">Small-scale preparation, transfer, storage and cleanup of mixed laboratory chemicals for bench work.</w:t>
      </w:r>
    </w:p>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02   TASK HAZARDS</w:t>
      </w:r>
    </w:p>
    <w:p>
      <w:pPr>
        <w:pBdr>
          <w:bottom w:val="single" w:color="0d9488" w:sz="6"/>
        </w:pBdr>
        <w:spacing w:after="80" w:before="180"/>
      </w:pPr>
      <w:r>
        <w:rPr>
          <w:rFonts w:ascii="Calibri" w:cs="Calibri" w:eastAsia="Calibri" w:hAnsi="Calibri"/>
          <w:b/>
          <w:bCs/>
          <w:color w:val="0f766e"/>
          <w:sz w:val="22"/>
          <w:szCs w:val="22"/>
        </w:rPr>
        <w:t xml:space="preserve">Hazard 1 — Glassware breakage and manual handling during chemical transfer</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How harm occurs</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Cuts or dropped containers could cause injury and secondary chemical release.</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Risk (before controls)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9  (L3 × S3)</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Controls in place</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Use compatible trays, small containers, clear bench space and trained staff only.</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Residual risk</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2  (L1 × S2)</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Further action</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Owner</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Due</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Completed</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w:t>
            </w:r>
          </w:p>
        </w:tc>
      </w:tr>
    </w:tbl>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03   COSHH PROCESS STEPS &amp; CHEMICALS</w:t>
      </w:r>
    </w:p>
    <w:p>
      <w:pPr>
        <w:pBdr>
          <w:bottom w:val="single" w:color="0d9488" w:sz="6"/>
        </w:pBdr>
        <w:spacing w:after="80" w:before="180"/>
      </w:pPr>
      <w:r>
        <w:rPr>
          <w:rFonts w:ascii="Calibri" w:cs="Calibri" w:eastAsia="Calibri" w:hAnsi="Calibri"/>
          <w:b/>
          <w:bCs/>
          <w:color w:val="0f766e"/>
          <w:sz w:val="22"/>
          <w:szCs w:val="22"/>
        </w:rPr>
        <w:t xml:space="preserve">Step 1 — Prepare and transfer mixed chemicals</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Engineering controls</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Fume hood</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PPE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Gloves, Goggles, Lab coat, Face shield</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Other step controls</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Use compatible secondary containment. Do not open incompatible chemicals together. Confirm glove material and any RPE need against SDS before work.</w:t>
            </w:r>
          </w:p>
        </w:tc>
      </w:tr>
    </w:tbl>
    <w:p>
      <w:pPr>
        <w:spacing w:after="60" w:before="120"/>
      </w:pPr>
      <w:r>
        <w:rPr>
          <w:rFonts w:ascii="Calibri" w:cs="Calibri" w:eastAsia="Calibri" w:hAnsi="Calibri"/>
          <w:b/>
          <w:bCs/>
          <w:color w:val="0f172a"/>
          <w:sz w:val="22"/>
          <w:szCs w:val="22"/>
        </w:rPr>
        <w:t xml:space="preserve">1.1    Acetone    (CAS 67-64-1)</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250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H225 ; H319 ; H336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Flammable · Harmful / irritant</w:t>
      </w:r>
    </w:p>
    <w:p>
      <w:pPr>
        <w:spacing w:after="60" w:before="120"/>
      </w:pPr>
      <w:r>
        <w:rPr>
          <w:rFonts w:ascii="Calibri" w:cs="Calibri" w:eastAsia="Calibri" w:hAnsi="Calibri"/>
          <w:b/>
          <w:bCs/>
          <w:color w:val="0f172a"/>
          <w:sz w:val="22"/>
          <w:szCs w:val="22"/>
        </w:rPr>
        <w:t xml:space="preserve">1.2    Ethanol    (CAS 64-17-5)</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100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H225 ; H319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Flammable · Harmful / irritant</w:t>
      </w:r>
    </w:p>
    <w:p>
      <w:pPr>
        <w:spacing w:after="60" w:before="120"/>
      </w:pPr>
      <w:r>
        <w:rPr>
          <w:rFonts w:ascii="Calibri" w:cs="Calibri" w:eastAsia="Calibri" w:hAnsi="Calibri"/>
          <w:b/>
          <w:bCs/>
          <w:color w:val="0f172a"/>
          <w:sz w:val="22"/>
          <w:szCs w:val="22"/>
        </w:rPr>
        <w:t xml:space="preserve">1.3    Dichloromethane    (CAS 75-09-2)</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50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H315 ; H319 ; H335 ; H351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Harmful / irritant · Health hazard</w:t>
      </w:r>
    </w:p>
    <w:p>
      <w:pPr>
        <w:spacing w:after="60" w:before="120"/>
      </w:pPr>
      <w:r>
        <w:rPr>
          <w:rFonts w:ascii="Calibri" w:cs="Calibri" w:eastAsia="Calibri" w:hAnsi="Calibri"/>
          <w:b/>
          <w:bCs/>
          <w:color w:val="0f172a"/>
          <w:sz w:val="22"/>
          <w:szCs w:val="22"/>
        </w:rPr>
        <w:t xml:space="preserve">1.4    Hydrochloric acid    (CAS 7647-01-0)</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100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H290 ; H314 ; H335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Corrosive · Harmful / irritant</w:t>
      </w:r>
    </w:p>
    <w:p>
      <w:pPr>
        <w:spacing w:after="60" w:before="120"/>
      </w:pPr>
      <w:r>
        <w:rPr>
          <w:rFonts w:ascii="Calibri" w:cs="Calibri" w:eastAsia="Calibri" w:hAnsi="Calibri"/>
          <w:b/>
          <w:bCs/>
          <w:color w:val="0f172a"/>
          <w:sz w:val="22"/>
          <w:szCs w:val="22"/>
        </w:rPr>
        <w:t xml:space="preserve">1.5    Sulfuric acid    (CAS 7664-93-9)</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100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H290 ; H314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Corrosive</w:t>
      </w:r>
    </w:p>
    <w:p>
      <w:pPr>
        <w:spacing w:after="60" w:before="120"/>
      </w:pPr>
      <w:r>
        <w:rPr>
          <w:rFonts w:ascii="Calibri" w:cs="Calibri" w:eastAsia="Calibri" w:hAnsi="Calibri"/>
          <w:b/>
          <w:bCs/>
          <w:color w:val="0f172a"/>
          <w:sz w:val="22"/>
          <w:szCs w:val="22"/>
        </w:rPr>
        <w:t xml:space="preserve">1.6    Sodium hydroxide    (CAS 1310-73-2)</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solid  ·  100 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H290 ; H314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Corrosive</w:t>
      </w:r>
    </w:p>
    <w:p>
      <w:pPr>
        <w:spacing w:after="60" w:before="120"/>
      </w:pPr>
      <w:r>
        <w:rPr>
          <w:rFonts w:ascii="Calibri" w:cs="Calibri" w:eastAsia="Calibri" w:hAnsi="Calibri"/>
          <w:b/>
          <w:bCs/>
          <w:color w:val="0f172a"/>
          <w:sz w:val="22"/>
          <w:szCs w:val="22"/>
        </w:rPr>
        <w:t xml:space="preserve">1.7    Nitric acid    (CAS 7697-37-2)</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25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H272 ; H290 ; H314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Oxidising · Corrosive</w:t>
      </w:r>
    </w:p>
    <w:p>
      <w:pPr>
        <w:spacing w:after="60" w:before="120"/>
      </w:pPr>
      <w:r>
        <w:rPr>
          <w:rFonts w:ascii="Calibri" w:cs="Calibri" w:eastAsia="Calibri" w:hAnsi="Calibri"/>
          <w:b/>
          <w:bCs/>
          <w:color w:val="0f172a"/>
          <w:sz w:val="22"/>
          <w:szCs w:val="22"/>
        </w:rPr>
        <w:t xml:space="preserve">1.8    Hydrogen peroxide 30%    (CAS 7722-84-1)</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50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H272 ; H302 ; H318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Oxidising · Corrosive · Harmful / irritant</w:t>
      </w:r>
    </w:p>
    <w:p>
      <w:pPr>
        <w:spacing w:after="60" w:before="120"/>
      </w:pPr>
      <w:r>
        <w:rPr>
          <w:rFonts w:ascii="Calibri" w:cs="Calibri" w:eastAsia="Calibri" w:hAnsi="Calibri"/>
          <w:b/>
          <w:bCs/>
          <w:color w:val="0f172a"/>
          <w:sz w:val="22"/>
          <w:szCs w:val="22"/>
        </w:rPr>
        <w:t xml:space="preserve">1.9    Sodium cyanide    (CAS 143-33-9)</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solid  ·  10 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H300 ; H310 ; H330 ; H410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Acute toxicity · Hazardous to environment</w:t>
      </w:r>
    </w:p>
    <w:p>
      <w:pPr>
        <w:spacing w:after="60" w:before="120"/>
      </w:pPr>
      <w:r>
        <w:rPr>
          <w:rFonts w:ascii="Calibri" w:cs="Calibri" w:eastAsia="Calibri" w:hAnsi="Calibri"/>
          <w:b/>
          <w:bCs/>
          <w:color w:val="0f172a"/>
          <w:sz w:val="22"/>
          <w:szCs w:val="22"/>
        </w:rPr>
        <w:t xml:space="preserve">1.10    Phenol    (CAS 108-95-2)</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solid  ·  25 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H301 ; H311 ; H314 ; H331 ; H341 ; H373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Acute toxicity · Corrosive · Health hazard</w:t>
      </w:r>
    </w:p>
    <w:p>
      <w:pPr>
        <w:spacing w:after="60" w:before="120"/>
      </w:pPr>
      <w:r>
        <w:rPr>
          <w:rFonts w:ascii="Calibri" w:cs="Calibri" w:eastAsia="Calibri" w:hAnsi="Calibri"/>
          <w:b/>
          <w:bCs/>
          <w:color w:val="0f172a"/>
          <w:sz w:val="22"/>
          <w:szCs w:val="22"/>
        </w:rPr>
        <w:t xml:space="preserve">1.11    Toluene    (CAS 108-88-3)</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100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H225 ; H304 ; H315 ; H336 ; H361 ; H373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Flammable · Harmful / irritant · Health hazard</w:t>
      </w:r>
    </w:p>
    <w:p>
      <w:pPr>
        <w:spacing w:after="60" w:before="120"/>
      </w:pPr>
      <w:r>
        <w:rPr>
          <w:rFonts w:ascii="Calibri" w:cs="Calibri" w:eastAsia="Calibri" w:hAnsi="Calibri"/>
          <w:b/>
          <w:bCs/>
          <w:color w:val="0f172a"/>
          <w:sz w:val="22"/>
          <w:szCs w:val="22"/>
        </w:rPr>
        <w:t xml:space="preserve">1.12    Formaldehyde solution    (CAS 50-00-0)</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25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H301 ; H311 ; H314 ; H317 ; H331 ; H341 ; H350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Acute toxicity · Corrosive · Health hazard</w:t>
      </w:r>
    </w:p>
    <w:p>
      <w:pPr>
        <w:spacing w:after="60" w:before="120"/>
      </w:pPr>
      <w:r>
        <w:rPr>
          <w:rFonts w:ascii="Calibri" w:cs="Calibri" w:eastAsia="Calibri" w:hAnsi="Calibri"/>
          <w:b/>
          <w:bCs/>
          <w:color w:val="0f172a"/>
          <w:sz w:val="22"/>
          <w:szCs w:val="22"/>
        </w:rPr>
        <w:t xml:space="preserve">1.13    Potassium permanganate    (CAS 7722-64-7)</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solid  ·  20 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H272 ; H302 ; H410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Oxidising · Harmful / irritant · Hazardous to environment</w:t>
      </w:r>
    </w:p>
    <w:p>
      <w:pPr>
        <w:spacing w:after="60" w:before="120"/>
      </w:pPr>
      <w:r>
        <w:rPr>
          <w:rFonts w:ascii="Calibri" w:cs="Calibri" w:eastAsia="Calibri" w:hAnsi="Calibri"/>
          <w:b/>
          <w:bCs/>
          <w:color w:val="0f172a"/>
          <w:sz w:val="22"/>
          <w:szCs w:val="22"/>
        </w:rPr>
        <w:t xml:space="preserve">1.14    Sodium borohydride    (CAS 16940-66-2)</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solid  ·  10 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H260 ; H301 ; H314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Flammable · Acute toxicity · Corrosive</w:t>
      </w:r>
    </w:p>
    <w:p>
      <w:pPr>
        <w:spacing w:after="60" w:before="120"/>
      </w:pPr>
      <w:r>
        <w:rPr>
          <w:rFonts w:ascii="Calibri" w:cs="Calibri" w:eastAsia="Calibri" w:hAnsi="Calibri"/>
          <w:b/>
          <w:bCs/>
          <w:color w:val="0f172a"/>
          <w:sz w:val="22"/>
          <w:szCs w:val="22"/>
        </w:rPr>
        <w:t xml:space="preserve">1.15    Acetonitrile    (CAS 75-05-8)</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Form / quantity</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liquid  ·  100 mL</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H-codes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H225 ; H302 ; H312 ; H319 ; H332 </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WEL TWA / STEL</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Check EH40/SDS  /  —  (Manual-EH40)</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Exposure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Up to 30 minutes per use, Weekly  ·  routes: inhalation, skin, eye</w:t>
            </w:r>
          </w:p>
        </w:tc>
      </w:tr>
    </w:tbl>
    <w:p>
      <w:pPr>
        <w:spacing w:after="40" w:before="80"/>
      </w:pPr>
      <w:r>
        <w:rPr>
          <w:rFonts w:ascii="Calibri" w:cs="Calibri" w:eastAsia="Calibri" w:hAnsi="Calibri"/>
          <w:b/>
          <w:bCs/>
          <w:color w:val="64748b"/>
          <w:sz w:val="16"/>
          <w:szCs w:val="16"/>
        </w:rPr>
        <w:t xml:space="preserve">GHS pictograms</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Flammable · Harmful / irritant</w:t>
      </w:r>
    </w:p>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04   COSHH ESSENTIALS SCREENING</w:t>
      </w:r>
    </w:p>
    <w:p>
      <w:pPr>
        <w:spacing w:after="120" w:before="0"/>
      </w:pPr>
      <w:r>
        <w:rPr>
          <w:rFonts w:ascii="Calibri" w:cs="Calibri" w:eastAsia="Calibri" w:hAnsi="Calibri"/>
          <w:color w:val="0f172a"/>
          <w:sz w:val="20"/>
          <w:szCs w:val="20"/>
        </w:rPr>
        <w:t xml:space="preserve">COSHH Essentials is the HSE control-banding screening tool published in HSG193. It identifies a suggested control approach for each substance from the combination of (a) the chemical hazard group derived from CLP H-statements, (b) the scale at which the substance is used, and (c) the volatility band for liquids or the dustiness band for solids. The highest approach across all substances is a screening output for assessor review, not automatic approval of controls.</w:t>
      </w:r>
    </w:p>
    <w:p>
      <w:pPr>
        <w:spacing w:after="120" w:before="0"/>
      </w:pPr>
      <w:r>
        <w:rPr>
          <w:rFonts w:ascii="Calibri" w:cs="Calibri" w:eastAsia="Calibri" w:hAnsi="Calibri"/>
          <w:color w:val="0f172a"/>
          <w:sz w:val="20"/>
          <w:szCs w:val="20"/>
        </w:rPr>
        <w:t xml:space="preserve">It is a screening tool only. A competent assessor must verify the screening output against the SDS, task, exposure route, quantity, duration, WELs and local conditions, and may impose stricter controls. The scheme does not cover asbestos, lead, pesticides, radioactive materials or biological agents, and does not address physical hazards such as fire, explosion or reactivity.</w:t>
      </w:r>
    </w:p>
    <w:p>
      <w:pPr>
        <w:pBdr>
          <w:bottom w:val="single" w:color="0d9488" w:sz="6"/>
        </w:pBdr>
        <w:spacing w:after="80" w:before="180"/>
      </w:pPr>
      <w:r>
        <w:rPr>
          <w:rFonts w:ascii="Calibri" w:cs="Calibri" w:eastAsia="Calibri" w:hAnsi="Calibri"/>
          <w:b/>
          <w:bCs/>
          <w:color w:val="0f766e"/>
          <w:sz w:val="22"/>
          <w:szCs w:val="22"/>
        </w:rPr>
        <w:t xml:space="preserve">Recommended approach — Approach 4 — Specialist advice required</w:t>
      </w:r>
    </w:p>
    <w:p>
      <w:pPr>
        <w:spacing w:after="80" w:before="0"/>
      </w:pPr>
      <w:r>
        <w:rPr>
          <w:rFonts w:ascii="Calibri" w:cs="Calibri" w:eastAsia="Calibri" w:hAnsi="Calibri"/>
          <w:color w:val="0f172a"/>
          <w:sz w:val="20"/>
          <w:szCs w:val="20"/>
        </w:rPr>
        <w:t xml:space="preserve">Driven by Phenol — hazard group E (H341), scale small, dustiness medium, exposure predictor EP1.</w:t>
      </w:r>
    </w:p>
    <w:p>
      <w:pPr>
        <w:spacing w:after="160" w:before="0"/>
      </w:pPr>
      <w:r>
        <w:rPr>
          <w:rFonts w:ascii="Calibri" w:cs="Calibri" w:eastAsia="Calibri" w:hAnsi="Calibri"/>
          <w:color w:val="64748b"/>
          <w:sz w:val="18"/>
          <w:szCs w:val="18"/>
        </w:rPr>
        <w:t xml:space="preserve">Reference: HSE Generic Guidance Sheet G400 — refer to occupational hygienist / specialist.</w:t>
      </w:r>
    </w:p>
    <w:p>
      <w:pPr>
        <w:spacing w:after="60" w:before="60"/>
      </w:pPr>
      <w:r>
        <w:rPr>
          <w:rFonts w:ascii="Calibri" w:cs="Calibri" w:eastAsia="Calibri" w:hAnsi="Calibri"/>
          <w:b/>
          <w:bCs/>
          <w:color w:val="0f766e"/>
          <w:sz w:val="20"/>
          <w:szCs w:val="20"/>
        </w:rPr>
        <w:t xml:space="preserve">Per-substance breakdown</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gridCol w:w="100"/>
        <w:gridCol w:w="100"/>
        <w:gridCol w:w="100"/>
        <w:gridCol w:w="100"/>
        <w:gridCol w:w="100"/>
      </w:tblGrid>
      <w:tr>
        <w:trPr>
          <w:tblHeader/>
        </w:trPr>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Substance</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Group</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H-codes</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Scale</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Band</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EP</w:t>
            </w:r>
          </w:p>
        </w:tc>
        <w:tc>
          <w:tcPr>
            <w:shd w:fill="0d9488" w:color="auto" w:val="clear"/>
            <w:tcMar>
              <w:top w:type="dxa" w:w="80"/>
              <w:left w:type="dxa" w:w="100"/>
              <w:bottom w:type="dxa" w:w="80"/>
              <w:right w:type="dxa" w:w="100"/>
            </w:tcMar>
          </w:tcPr>
          <w:p>
            <w:r>
              <w:rPr>
                <w:rFonts w:ascii="Calibri" w:cs="Calibri" w:eastAsia="Calibri" w:hAnsi="Calibri"/>
                <w:b/>
                <w:bCs/>
                <w:color w:val="ffffff"/>
                <w:sz w:val="18"/>
                <w:szCs w:val="18"/>
              </w:rPr>
              <w:t xml:space="preserve">Approach</w:t>
            </w:r>
          </w:p>
        </w:tc>
      </w:tr>
      <w:tr>
        <w:tc>
          <w:tcPr>
            <w:tcMar>
              <w:top w:type="dxa" w:w="60"/>
              <w:left w:type="dxa" w:w="100"/>
              <w:bottom w:type="dxa" w:w="60"/>
              <w:right w:type="dxa" w:w="100"/>
            </w:tcMar>
          </w:tcPr>
          <w:p>
            <w:r>
              <w:rPr>
                <w:rFonts w:ascii="Calibri" w:cs="Calibri" w:eastAsia="Calibri" w:hAnsi="Calibri"/>
                <w:b/>
                <w:bCs/>
                <w:sz w:val="18"/>
                <w:szCs w:val="18"/>
              </w:rPr>
              <w:t xml:space="preserve">Acetone</w:t>
            </w:r>
          </w:p>
        </w:tc>
        <w:tc>
          <w:tcPr>
            <w:tcMar>
              <w:top w:type="dxa" w:w="60"/>
              <w:left w:type="dxa" w:w="100"/>
              <w:bottom w:type="dxa" w:w="60"/>
              <w:right w:type="dxa" w:w="100"/>
            </w:tcMar>
          </w:tcPr>
          <w:p>
            <w:r>
              <w:rPr>
                <w:rFonts w:ascii="Calibri" w:cs="Calibri" w:eastAsia="Calibri" w:hAnsi="Calibri"/>
                <w:b/>
                <w:bCs/>
                <w:color w:val="0f172a"/>
                <w:sz w:val="18"/>
                <w:szCs w:val="18"/>
              </w:rPr>
              <w:t xml:space="preserve">A</w:t>
            </w:r>
          </w:p>
        </w:tc>
        <w:tc>
          <w:tcPr>
            <w:tcMar>
              <w:top w:type="dxa" w:w="60"/>
              <w:left w:type="dxa" w:w="100"/>
              <w:bottom w:type="dxa" w:w="60"/>
              <w:right w:type="dxa" w:w="100"/>
            </w:tcMar>
          </w:tcPr>
          <w:p>
            <w:r>
              <w:rPr>
                <w:rFonts w:ascii="Calibri" w:cs="Calibri" w:eastAsia="Calibri" w:hAnsi="Calibri"/>
                <w:color w:val="0f172a"/>
                <w:sz w:val="18"/>
                <w:szCs w:val="18"/>
              </w:rPr>
              <w:t xml:space="preserve">—</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high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Ethanol</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A</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high (volatility)</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EP2</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tcMar>
              <w:top w:type="dxa" w:w="60"/>
              <w:left w:type="dxa" w:w="100"/>
              <w:bottom w:type="dxa" w:w="60"/>
              <w:right w:type="dxa" w:w="100"/>
            </w:tcMar>
          </w:tcPr>
          <w:p>
            <w:r>
              <w:rPr>
                <w:rFonts w:ascii="Calibri" w:cs="Calibri" w:eastAsia="Calibri" w:hAnsi="Calibri"/>
                <w:b/>
                <w:bCs/>
                <w:sz w:val="18"/>
                <w:szCs w:val="18"/>
              </w:rPr>
              <w:t xml:space="preserve">Dichloromethane</w:t>
            </w:r>
          </w:p>
        </w:tc>
        <w:tc>
          <w:tcPr>
            <w:tcMar>
              <w:top w:type="dxa" w:w="60"/>
              <w:left w:type="dxa" w:w="100"/>
              <w:bottom w:type="dxa" w:w="60"/>
              <w:right w:type="dxa" w:w="100"/>
            </w:tcMar>
          </w:tcPr>
          <w:p>
            <w:r>
              <w:rPr>
                <w:rFonts w:ascii="Calibri" w:cs="Calibri" w:eastAsia="Calibri" w:hAnsi="Calibri"/>
                <w:b/>
                <w:bCs/>
                <w:color w:val="0f172a"/>
                <w:sz w:val="18"/>
                <w:szCs w:val="18"/>
              </w:rPr>
              <w:t xml:space="preserve">D</w:t>
            </w:r>
          </w:p>
        </w:tc>
        <w:tc>
          <w:tcPr>
            <w:tcMar>
              <w:top w:type="dxa" w:w="60"/>
              <w:left w:type="dxa" w:w="100"/>
              <w:bottom w:type="dxa" w:w="60"/>
              <w:right w:type="dxa" w:w="100"/>
            </w:tcMar>
          </w:tcPr>
          <w:p>
            <w:r>
              <w:rPr>
                <w:rFonts w:ascii="Calibri" w:cs="Calibri" w:eastAsia="Calibri" w:hAnsi="Calibri"/>
                <w:color w:val="0f172a"/>
                <w:sz w:val="18"/>
                <w:szCs w:val="18"/>
              </w:rPr>
              <w:t xml:space="preserve">H351</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high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3</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Hydrochloric acid</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H314, H335</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medium (volatility)</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EP2</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2</w:t>
            </w:r>
          </w:p>
        </w:tc>
      </w:tr>
      <w:tr>
        <w:tc>
          <w:tcPr>
            <w:tcMar>
              <w:top w:type="dxa" w:w="60"/>
              <w:left w:type="dxa" w:w="100"/>
              <w:bottom w:type="dxa" w:w="60"/>
              <w:right w:type="dxa" w:w="100"/>
            </w:tcMar>
          </w:tcPr>
          <w:p>
            <w:r>
              <w:rPr>
                <w:rFonts w:ascii="Calibri" w:cs="Calibri" w:eastAsia="Calibri" w:hAnsi="Calibri"/>
                <w:b/>
                <w:bCs/>
                <w:sz w:val="18"/>
                <w:szCs w:val="18"/>
              </w:rPr>
              <w:t xml:space="preserve">Sulfuric acid</w:t>
            </w:r>
          </w:p>
        </w:tc>
        <w:tc>
          <w:tcP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tcMar>
              <w:top w:type="dxa" w:w="60"/>
              <w:left w:type="dxa" w:w="100"/>
              <w:bottom w:type="dxa" w:w="60"/>
              <w:right w:type="dxa" w:w="100"/>
            </w:tcMar>
          </w:tcPr>
          <w:p>
            <w:r>
              <w:rPr>
                <w:rFonts w:ascii="Calibri" w:cs="Calibri" w:eastAsia="Calibri" w:hAnsi="Calibri"/>
                <w:color w:val="0f172a"/>
                <w:sz w:val="18"/>
                <w:szCs w:val="18"/>
              </w:rPr>
              <w:t xml:space="preserve">H314</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low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EP1</w:t>
            </w:r>
          </w:p>
        </w:tc>
        <w:tc>
          <w:tcP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Sodium hydroxide</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H314</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medium (dustiness)</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EP1</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tcMar>
              <w:top w:type="dxa" w:w="60"/>
              <w:left w:type="dxa" w:w="100"/>
              <w:bottom w:type="dxa" w:w="60"/>
              <w:right w:type="dxa" w:w="100"/>
            </w:tcMar>
          </w:tcPr>
          <w:p>
            <w:r>
              <w:rPr>
                <w:rFonts w:ascii="Calibri" w:cs="Calibri" w:eastAsia="Calibri" w:hAnsi="Calibri"/>
                <w:b/>
                <w:bCs/>
                <w:sz w:val="18"/>
                <w:szCs w:val="18"/>
              </w:rPr>
              <w:t xml:space="preserve">Nitric acid</w:t>
            </w:r>
          </w:p>
        </w:tc>
        <w:tc>
          <w:tcP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tcMar>
              <w:top w:type="dxa" w:w="60"/>
              <w:left w:type="dxa" w:w="100"/>
              <w:bottom w:type="dxa" w:w="60"/>
              <w:right w:type="dxa" w:w="100"/>
            </w:tcMar>
          </w:tcPr>
          <w:p>
            <w:r>
              <w:rPr>
                <w:rFonts w:ascii="Calibri" w:cs="Calibri" w:eastAsia="Calibri" w:hAnsi="Calibri"/>
                <w:color w:val="0f172a"/>
                <w:sz w:val="18"/>
                <w:szCs w:val="18"/>
              </w:rPr>
              <w:t xml:space="preserve">H314</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medium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2</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Hydrogen peroxide 30%</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H318</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low (volatility)</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EP1</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tcMar>
              <w:top w:type="dxa" w:w="60"/>
              <w:left w:type="dxa" w:w="100"/>
              <w:bottom w:type="dxa" w:w="60"/>
              <w:right w:type="dxa" w:w="100"/>
            </w:tcMar>
          </w:tcPr>
          <w:p>
            <w:r>
              <w:rPr>
                <w:rFonts w:ascii="Calibri" w:cs="Calibri" w:eastAsia="Calibri" w:hAnsi="Calibri"/>
                <w:b/>
                <w:bCs/>
                <w:sz w:val="18"/>
                <w:szCs w:val="18"/>
              </w:rPr>
              <w:t xml:space="preserve">Sodium cyanide</w:t>
            </w:r>
          </w:p>
        </w:tc>
        <w:tc>
          <w:tcPr>
            <w:tcMar>
              <w:top w:type="dxa" w:w="60"/>
              <w:left w:type="dxa" w:w="100"/>
              <w:bottom w:type="dxa" w:w="60"/>
              <w:right w:type="dxa" w:w="100"/>
            </w:tcMar>
          </w:tcPr>
          <w:p>
            <w:r>
              <w:rPr>
                <w:rFonts w:ascii="Calibri" w:cs="Calibri" w:eastAsia="Calibri" w:hAnsi="Calibri"/>
                <w:b/>
                <w:bCs/>
                <w:color w:val="0f172a"/>
                <w:sz w:val="18"/>
                <w:szCs w:val="18"/>
              </w:rPr>
              <w:t xml:space="preserve">D</w:t>
            </w:r>
          </w:p>
        </w:tc>
        <w:tc>
          <w:tcPr>
            <w:tcMar>
              <w:top w:type="dxa" w:w="60"/>
              <w:left w:type="dxa" w:w="100"/>
              <w:bottom w:type="dxa" w:w="60"/>
              <w:right w:type="dxa" w:w="100"/>
            </w:tcMar>
          </w:tcPr>
          <w:p>
            <w:r>
              <w:rPr>
                <w:rFonts w:ascii="Calibri" w:cs="Calibri" w:eastAsia="Calibri" w:hAnsi="Calibri"/>
                <w:color w:val="0f172a"/>
                <w:sz w:val="18"/>
                <w:szCs w:val="18"/>
              </w:rPr>
              <w:t xml:space="preserve">H300, H310, H330</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high (dustiness)</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3</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Phenol</w:t>
            </w:r>
          </w:p>
          <w:p>
            <w:r>
              <w:rPr>
                <w:rFonts w:ascii="Calibri" w:cs="Calibri" w:eastAsia="Calibri" w:hAnsi="Calibri"/>
                <w:i/>
                <w:iCs/>
                <w:color w:val="0f766e"/>
                <w:sz w:val="14"/>
                <w:szCs w:val="14"/>
              </w:rPr>
              <w:t xml:space="preserve">drives controls</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E</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H341</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medium (dustiness)</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EP1</w:t>
            </w:r>
          </w:p>
        </w:tc>
        <w:tc>
          <w:tcPr>
            <w:shd w:fill="f8fafc" w:color="auto" w:val="clear"/>
            <w:tcMar>
              <w:top w:type="dxa" w:w="60"/>
              <w:left w:type="dxa" w:w="100"/>
              <w:bottom w:type="dxa" w:w="60"/>
              <w:right w:type="dxa" w:w="100"/>
            </w:tcMar>
          </w:tcPr>
          <w:p>
            <w:r>
              <w:rPr>
                <w:rFonts w:ascii="Calibri" w:cs="Calibri" w:eastAsia="Calibri" w:hAnsi="Calibri"/>
                <w:b/>
                <w:bCs/>
                <w:color w:val="0f766e"/>
                <w:sz w:val="18"/>
                <w:szCs w:val="18"/>
              </w:rPr>
              <w:t xml:space="preserve">4</w:t>
            </w:r>
          </w:p>
        </w:tc>
      </w:tr>
      <w:tr>
        <w:tc>
          <w:tcPr>
            <w:tcMar>
              <w:top w:type="dxa" w:w="60"/>
              <w:left w:type="dxa" w:w="100"/>
              <w:bottom w:type="dxa" w:w="60"/>
              <w:right w:type="dxa" w:w="100"/>
            </w:tcMar>
          </w:tcPr>
          <w:p>
            <w:r>
              <w:rPr>
                <w:rFonts w:ascii="Calibri" w:cs="Calibri" w:eastAsia="Calibri" w:hAnsi="Calibri"/>
                <w:b/>
                <w:bCs/>
                <w:sz w:val="18"/>
                <w:szCs w:val="18"/>
              </w:rPr>
              <w:t xml:space="preserve">Toluene</w:t>
            </w:r>
          </w:p>
        </w:tc>
        <w:tc>
          <w:tcPr>
            <w:tcMar>
              <w:top w:type="dxa" w:w="60"/>
              <w:left w:type="dxa" w:w="100"/>
              <w:bottom w:type="dxa" w:w="60"/>
              <w:right w:type="dxa" w:w="100"/>
            </w:tcMar>
          </w:tcPr>
          <w:p>
            <w:r>
              <w:rPr>
                <w:rFonts w:ascii="Calibri" w:cs="Calibri" w:eastAsia="Calibri" w:hAnsi="Calibri"/>
                <w:b/>
                <w:bCs/>
                <w:color w:val="0f172a"/>
                <w:sz w:val="18"/>
                <w:szCs w:val="18"/>
              </w:rPr>
              <w:t xml:space="preserve">D</w:t>
            </w:r>
          </w:p>
        </w:tc>
        <w:tc>
          <w:tcPr>
            <w:tcMar>
              <w:top w:type="dxa" w:w="60"/>
              <w:left w:type="dxa" w:w="100"/>
              <w:bottom w:type="dxa" w:w="60"/>
              <w:right w:type="dxa" w:w="100"/>
            </w:tcMar>
          </w:tcPr>
          <w:p>
            <w:r>
              <w:rPr>
                <w:rFonts w:ascii="Calibri" w:cs="Calibri" w:eastAsia="Calibri" w:hAnsi="Calibri"/>
                <w:color w:val="0f172a"/>
                <w:sz w:val="18"/>
                <w:szCs w:val="18"/>
              </w:rPr>
              <w:t xml:space="preserve">H361</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medium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3</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Formaldehyde solution</w:t>
            </w:r>
          </w:p>
          <w:p>
            <w:r>
              <w:rPr>
                <w:rFonts w:ascii="Calibri" w:cs="Calibri" w:eastAsia="Calibri" w:hAnsi="Calibri"/>
                <w:i/>
                <w:iCs/>
                <w:color w:val="0f766e"/>
                <w:sz w:val="14"/>
                <w:szCs w:val="14"/>
              </w:rPr>
              <w:t xml:space="preserve">drives controls</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E</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H341, H350</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high (volatility)</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EP2</w:t>
            </w:r>
          </w:p>
        </w:tc>
        <w:tc>
          <w:tcPr>
            <w:shd w:fill="f8fafc" w:color="auto" w:val="clear"/>
            <w:tcMar>
              <w:top w:type="dxa" w:w="60"/>
              <w:left w:type="dxa" w:w="100"/>
              <w:bottom w:type="dxa" w:w="60"/>
              <w:right w:type="dxa" w:w="100"/>
            </w:tcMar>
          </w:tcPr>
          <w:p>
            <w:r>
              <w:rPr>
                <w:rFonts w:ascii="Calibri" w:cs="Calibri" w:eastAsia="Calibri" w:hAnsi="Calibri"/>
                <w:b/>
                <w:bCs/>
                <w:color w:val="0f766e"/>
                <w:sz w:val="18"/>
                <w:szCs w:val="18"/>
              </w:rPr>
              <w:t xml:space="preserve">4</w:t>
            </w:r>
          </w:p>
        </w:tc>
      </w:tr>
      <w:tr>
        <w:tc>
          <w:tcPr>
            <w:tcMar>
              <w:top w:type="dxa" w:w="60"/>
              <w:left w:type="dxa" w:w="100"/>
              <w:bottom w:type="dxa" w:w="60"/>
              <w:right w:type="dxa" w:w="100"/>
            </w:tcMar>
          </w:tcPr>
          <w:p>
            <w:r>
              <w:rPr>
                <w:rFonts w:ascii="Calibri" w:cs="Calibri" w:eastAsia="Calibri" w:hAnsi="Calibri"/>
                <w:b/>
                <w:bCs/>
                <w:sz w:val="18"/>
                <w:szCs w:val="18"/>
              </w:rPr>
              <w:t xml:space="preserve">Potassium permanganate</w:t>
            </w:r>
          </w:p>
        </w:tc>
        <w:tc>
          <w:tcPr>
            <w:tcMar>
              <w:top w:type="dxa" w:w="60"/>
              <w:left w:type="dxa" w:w="100"/>
              <w:bottom w:type="dxa" w:w="60"/>
              <w:right w:type="dxa" w:w="100"/>
            </w:tcMar>
          </w:tcPr>
          <w:p>
            <w:r>
              <w:rPr>
                <w:rFonts w:ascii="Calibri" w:cs="Calibri" w:eastAsia="Calibri" w:hAnsi="Calibri"/>
                <w:b/>
                <w:bCs/>
                <w:color w:val="0f172a"/>
                <w:sz w:val="18"/>
                <w:szCs w:val="18"/>
              </w:rPr>
              <w:t xml:space="preserve">B</w:t>
            </w:r>
          </w:p>
        </w:tc>
        <w:tc>
          <w:tcPr>
            <w:tcMar>
              <w:top w:type="dxa" w:w="60"/>
              <w:left w:type="dxa" w:w="100"/>
              <w:bottom w:type="dxa" w:w="60"/>
              <w:right w:type="dxa" w:w="100"/>
            </w:tcMar>
          </w:tcPr>
          <w:p>
            <w:r>
              <w:rPr>
                <w:rFonts w:ascii="Calibri" w:cs="Calibri" w:eastAsia="Calibri" w:hAnsi="Calibri"/>
                <w:color w:val="0f172a"/>
                <w:sz w:val="18"/>
                <w:szCs w:val="18"/>
              </w:rPr>
              <w:t xml:space="preserve">H302</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medium (dustiness)</w:t>
            </w:r>
          </w:p>
        </w:tc>
        <w:tc>
          <w:tcPr>
            <w:tcMar>
              <w:top w:type="dxa" w:w="60"/>
              <w:left w:type="dxa" w:w="100"/>
              <w:bottom w:type="dxa" w:w="60"/>
              <w:right w:type="dxa" w:w="100"/>
            </w:tcMar>
          </w:tcPr>
          <w:p>
            <w:r>
              <w:rPr>
                <w:rFonts w:ascii="Calibri" w:cs="Calibri" w:eastAsia="Calibri" w:hAnsi="Calibri"/>
                <w:color w:val="0f172a"/>
                <w:sz w:val="18"/>
                <w:szCs w:val="18"/>
              </w:rPr>
              <w:t xml:space="preserve">EP1</w:t>
            </w:r>
          </w:p>
        </w:tc>
        <w:tc>
          <w:tcP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shd w:fill="f8fafc" w:color="auto" w:val="clear"/>
            <w:tcMar>
              <w:top w:type="dxa" w:w="60"/>
              <w:left w:type="dxa" w:w="100"/>
              <w:bottom w:type="dxa" w:w="60"/>
              <w:right w:type="dxa" w:w="100"/>
            </w:tcMar>
          </w:tcPr>
          <w:p>
            <w:r>
              <w:rPr>
                <w:rFonts w:ascii="Calibri" w:cs="Calibri" w:eastAsia="Calibri" w:hAnsi="Calibri"/>
                <w:b/>
                <w:bCs/>
                <w:sz w:val="18"/>
                <w:szCs w:val="18"/>
              </w:rPr>
              <w:t xml:space="preserve">Sodium borohydride</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C</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H301, H314</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small</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medium (dustiness)</w:t>
            </w:r>
          </w:p>
        </w:tc>
        <w:tc>
          <w:tcPr>
            <w:shd w:fill="f8fafc" w:color="auto" w:val="clear"/>
            <w:tcMar>
              <w:top w:type="dxa" w:w="60"/>
              <w:left w:type="dxa" w:w="100"/>
              <w:bottom w:type="dxa" w:w="60"/>
              <w:right w:type="dxa" w:w="100"/>
            </w:tcMar>
          </w:tcPr>
          <w:p>
            <w:r>
              <w:rPr>
                <w:rFonts w:ascii="Calibri" w:cs="Calibri" w:eastAsia="Calibri" w:hAnsi="Calibri"/>
                <w:color w:val="0f172a"/>
                <w:sz w:val="18"/>
                <w:szCs w:val="18"/>
              </w:rPr>
              <w:t xml:space="preserve">EP1</w:t>
            </w:r>
          </w:p>
        </w:tc>
        <w:tc>
          <w:tcPr>
            <w:shd w:fill="f8fafc" w:color="auto" w:val="clear"/>
            <w:tcMar>
              <w:top w:type="dxa" w:w="60"/>
              <w:left w:type="dxa" w:w="100"/>
              <w:bottom w:type="dxa" w:w="60"/>
              <w:right w:type="dxa" w:w="100"/>
            </w:tcMar>
          </w:tcPr>
          <w:p>
            <w:r>
              <w:rPr>
                <w:rFonts w:ascii="Calibri" w:cs="Calibri" w:eastAsia="Calibri" w:hAnsi="Calibri"/>
                <w:b/>
                <w:bCs/>
                <w:color w:val="0f172a"/>
                <w:sz w:val="18"/>
                <w:szCs w:val="18"/>
              </w:rPr>
              <w:t xml:space="preserve">1</w:t>
            </w:r>
          </w:p>
        </w:tc>
      </w:tr>
      <w:tr>
        <w:tc>
          <w:tcPr>
            <w:tcMar>
              <w:top w:type="dxa" w:w="60"/>
              <w:left w:type="dxa" w:w="100"/>
              <w:bottom w:type="dxa" w:w="60"/>
              <w:right w:type="dxa" w:w="100"/>
            </w:tcMar>
          </w:tcPr>
          <w:p>
            <w:r>
              <w:rPr>
                <w:rFonts w:ascii="Calibri" w:cs="Calibri" w:eastAsia="Calibri" w:hAnsi="Calibri"/>
                <w:b/>
                <w:bCs/>
                <w:sz w:val="18"/>
                <w:szCs w:val="18"/>
              </w:rPr>
              <w:t xml:space="preserve">Acetonitrile</w:t>
            </w:r>
          </w:p>
        </w:tc>
        <w:tc>
          <w:tcPr>
            <w:tcMar>
              <w:top w:type="dxa" w:w="60"/>
              <w:left w:type="dxa" w:w="100"/>
              <w:bottom w:type="dxa" w:w="60"/>
              <w:right w:type="dxa" w:w="100"/>
            </w:tcMar>
          </w:tcPr>
          <w:p>
            <w:r>
              <w:rPr>
                <w:rFonts w:ascii="Calibri" w:cs="Calibri" w:eastAsia="Calibri" w:hAnsi="Calibri"/>
                <w:b/>
                <w:bCs/>
                <w:color w:val="0f172a"/>
                <w:sz w:val="18"/>
                <w:szCs w:val="18"/>
              </w:rPr>
              <w:t xml:space="preserve">B</w:t>
            </w:r>
          </w:p>
        </w:tc>
        <w:tc>
          <w:tcPr>
            <w:tcMar>
              <w:top w:type="dxa" w:w="60"/>
              <w:left w:type="dxa" w:w="100"/>
              <w:bottom w:type="dxa" w:w="60"/>
              <w:right w:type="dxa" w:w="100"/>
            </w:tcMar>
          </w:tcPr>
          <w:p>
            <w:r>
              <w:rPr>
                <w:rFonts w:ascii="Calibri" w:cs="Calibri" w:eastAsia="Calibri" w:hAnsi="Calibri"/>
                <w:color w:val="0f172a"/>
                <w:sz w:val="18"/>
                <w:szCs w:val="18"/>
              </w:rPr>
              <w:t xml:space="preserve">H302, H312, H332</w:t>
            </w:r>
          </w:p>
        </w:tc>
        <w:tc>
          <w:tcPr>
            <w:tcMar>
              <w:top w:type="dxa" w:w="60"/>
              <w:left w:type="dxa" w:w="100"/>
              <w:bottom w:type="dxa" w:w="60"/>
              <w:right w:type="dxa" w:w="100"/>
            </w:tcMar>
          </w:tcPr>
          <w:p>
            <w:r>
              <w:rPr>
                <w:rFonts w:ascii="Calibri" w:cs="Calibri" w:eastAsia="Calibri" w:hAnsi="Calibri"/>
                <w:color w:val="0f172a"/>
                <w:sz w:val="18"/>
                <w:szCs w:val="18"/>
              </w:rPr>
              <w:t xml:space="preserve">small</w:t>
            </w:r>
          </w:p>
        </w:tc>
        <w:tc>
          <w:tcPr>
            <w:tcMar>
              <w:top w:type="dxa" w:w="60"/>
              <w:left w:type="dxa" w:w="100"/>
              <w:bottom w:type="dxa" w:w="60"/>
              <w:right w:type="dxa" w:w="100"/>
            </w:tcMar>
          </w:tcPr>
          <w:p>
            <w:r>
              <w:rPr>
                <w:rFonts w:ascii="Calibri" w:cs="Calibri" w:eastAsia="Calibri" w:hAnsi="Calibri"/>
                <w:color w:val="0f172a"/>
                <w:sz w:val="18"/>
                <w:szCs w:val="18"/>
              </w:rPr>
              <w:t xml:space="preserve">high (volatility)</w:t>
            </w:r>
          </w:p>
        </w:tc>
        <w:tc>
          <w:tcPr>
            <w:tcMar>
              <w:top w:type="dxa" w:w="60"/>
              <w:left w:type="dxa" w:w="100"/>
              <w:bottom w:type="dxa" w:w="60"/>
              <w:right w:type="dxa" w:w="100"/>
            </w:tcMar>
          </w:tcPr>
          <w:p>
            <w:r>
              <w:rPr>
                <w:rFonts w:ascii="Calibri" w:cs="Calibri" w:eastAsia="Calibri" w:hAnsi="Calibri"/>
                <w:color w:val="0f172a"/>
                <w:sz w:val="18"/>
                <w:szCs w:val="18"/>
              </w:rPr>
              <w:t xml:space="preserve">EP2</w:t>
            </w:r>
          </w:p>
        </w:tc>
        <w:tc>
          <w:tcPr>
            <w:tcMar>
              <w:top w:type="dxa" w:w="60"/>
              <w:left w:type="dxa" w:w="100"/>
              <w:bottom w:type="dxa" w:w="60"/>
              <w:right w:type="dxa" w:w="100"/>
            </w:tcMar>
          </w:tcPr>
          <w:p>
            <w:r>
              <w:rPr>
                <w:rFonts w:ascii="Calibri" w:cs="Calibri" w:eastAsia="Calibri" w:hAnsi="Calibri"/>
                <w:b/>
                <w:bCs/>
                <w:color w:val="0f172a"/>
                <w:sz w:val="18"/>
                <w:szCs w:val="18"/>
              </w:rPr>
              <w:t xml:space="preserve">1</w:t>
            </w:r>
          </w:p>
        </w:tc>
      </w:tr>
    </w:tbl>
    <w:p>
      <w:pPr>
        <w:spacing w:after="160" w:before="60"/>
      </w:pPr>
      <w:r>
        <w:rPr>
          <w:rFonts w:ascii="Calibri" w:cs="Calibri" w:eastAsia="Calibri" w:hAnsi="Calibri"/>
          <w:i/>
          <w:iCs/>
          <w:color w:val="64748b"/>
          <w:sz w:val="14"/>
          <w:szCs w:val="14"/>
        </w:rPr>
        <w:t xml:space="preserve">* assumed value used because input was missing or unparseable.</w:t>
      </w:r>
    </w:p>
    <w:p>
      <w:pPr>
        <w:spacing w:after="60" w:before="0"/>
      </w:pPr>
      <w:r>
        <w:rPr>
          <w:rFonts w:ascii="Calibri" w:cs="Calibri" w:eastAsia="Calibri" w:hAnsi="Calibri"/>
          <w:b/>
          <w:bCs/>
          <w:color w:val="0f766e"/>
          <w:sz w:val="20"/>
          <w:szCs w:val="20"/>
        </w:rPr>
        <w:t xml:space="preserve">Caveats &amp; assumptions</w:t>
      </w:r>
    </w:p>
    <w:p>
      <w:pPr>
        <w:pStyle w:val="ListParagraph"/>
        <w:numPr>
          <w:ilvl w:val="0"/>
          <w:numId w:val="1"/>
        </w:numPr>
        <w:spacing w:after="60"/>
      </w:pPr>
      <w:r>
        <w:rPr>
          <w:rFonts w:ascii="Calibri" w:cs="Calibri" w:eastAsia="Calibri" w:hAnsi="Calibri"/>
          <w:color w:val="0f172a"/>
          <w:sz w:val="18"/>
          <w:szCs w:val="18"/>
        </w:rPr>
        <w:t xml:space="preserve">Group E hazard (H341) — COSHH Essentials directs to specialist advice (Approach 4). Do not rely on the banded screening.</w:t>
      </w:r>
    </w:p>
    <w:p>
      <w:pPr>
        <w:pStyle w:val="ListParagraph"/>
        <w:numPr>
          <w:ilvl w:val="0"/>
          <w:numId w:val="1"/>
        </w:numPr>
        <w:spacing w:after="60"/>
      </w:pPr>
      <w:r>
        <w:rPr>
          <w:rFonts w:ascii="Calibri" w:cs="Calibri" w:eastAsia="Calibri" w:hAnsi="Calibri"/>
          <w:color w:val="0f172a"/>
          <w:sz w:val="18"/>
          <w:szCs w:val="18"/>
        </w:rPr>
        <w:t xml:space="preserve">H304 aspiration hazard: COSHH Essentials does not fully cover aspiration risk — consider design controls against accidental swallowing/inhalation of mists.</w:t>
      </w:r>
    </w:p>
    <w:p>
      <w:pPr>
        <w:pStyle w:val="ListParagraph"/>
        <w:numPr>
          <w:ilvl w:val="0"/>
          <w:numId w:val="1"/>
        </w:numPr>
        <w:spacing w:after="60"/>
      </w:pPr>
      <w:r>
        <w:rPr>
          <w:rFonts w:ascii="Calibri" w:cs="Calibri" w:eastAsia="Calibri" w:hAnsi="Calibri"/>
          <w:color w:val="0f172a"/>
          <w:sz w:val="18"/>
          <w:szCs w:val="18"/>
        </w:rPr>
        <w:t xml:space="preserve">Group E hazard (H341, H350) — COSHH Essentials directs to specialist advice (Approach 4). Do not rely on the banded screening.</w:t>
      </w:r>
    </w:p>
    <w:p>
      <w:pPr>
        <w:pStyle w:val="ListParagraph"/>
        <w:numPr>
          <w:ilvl w:val="0"/>
          <w:numId w:val="1"/>
        </w:numPr>
        <w:spacing w:after="60"/>
      </w:pPr>
      <w:r>
        <w:rPr>
          <w:rFonts w:ascii="Calibri" w:cs="Calibri" w:eastAsia="Calibri" w:hAnsi="Calibri"/>
          <w:color w:val="0f172a"/>
          <w:sz w:val="18"/>
          <w:szCs w:val="18"/>
        </w:rPr>
        <w:t xml:space="preserve">COSHH Essentials is a screening tool. A competent risk assessor must verify the screening output against the SDS, task, exposure route, quantity, duration, WELs and local conditions, and may impose stricter controls. Not valid for asbestos, lead, pesticides, radioactive materials, or biological agents.</w:t>
      </w:r>
    </w:p>
    <w:p>
      <w:pPr>
        <w:spacing w:after="80"/>
      </w:pPr>
    </w:p>
    <w:p>
      <w:pPr>
        <w:spacing w:after="60" w:before="80"/>
      </w:pPr>
      <w:r>
        <w:rPr>
          <w:rFonts w:ascii="Calibri" w:cs="Calibri" w:eastAsia="Calibri" w:hAnsi="Calibri"/>
          <w:b/>
          <w:bCs/>
          <w:color w:val="0f766e"/>
          <w:sz w:val="20"/>
          <w:szCs w:val="20"/>
        </w:rPr>
        <w:t xml:space="preserve">Reference legend</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rPr>
          <w:tblHeader/>
        </w:trPr>
        <w:tc>
          <w:tcPr>
            <w:gridSpan w:val="2"/>
            <w:shd w:fill="0d9488" w:color="auto" w:val="clear"/>
            <w:tcMar>
              <w:top w:type="dxa" w:w="80"/>
              <w:left w:type="dxa" w:w="120"/>
              <w:bottom w:type="dxa" w:w="80"/>
              <w:right w:type="dxa" w:w="120"/>
            </w:tcMar>
          </w:tcPr>
          <w:p>
            <w:r>
              <w:rPr>
                <w:rFonts w:ascii="Calibri" w:cs="Calibri" w:eastAsia="Calibri" w:hAnsi="Calibri"/>
                <w:b/>
                <w:bCs/>
                <w:color w:val="ffffff"/>
                <w:sz w:val="18"/>
                <w:szCs w:val="18"/>
              </w:rPr>
              <w:t xml:space="preserve">Hazard group</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Group A</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Lower health hazard band: H304, H315, H319, H336 and similar lower-toxicity effects.</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Group B</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Harmful / STOT category 2 band: H302, H312, H332, H371.</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Group C</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Toxic, corrosive, serious eye damage, sensitising skin, respiratory irritation or STOT category 1/2: H301, H311, H314, H317, H318, H331, H335, H370, H373.</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Group D</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Fatal acute toxicity, suspected carcinogen / reproductive toxicant, lactation hazard or repeated-exposure organ damage: H300, H310, H330, H351, H360, H361, H362, H372.</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Group E</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Respiratory sensitiser, mutagen or carcinogen category 1 / suspected mutagen: H334, H340, H341, H350. Specialist advice is required (Approach 4).</w:t>
            </w:r>
          </w:p>
        </w:tc>
      </w:tr>
    </w:tbl>
    <w:p>
      <w:pPr>
        <w:spacing w:after="60"/>
      </w:pP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rPr>
          <w:tblHeader/>
        </w:trPr>
        <w:tc>
          <w:tcPr>
            <w:gridSpan w:val="2"/>
            <w:shd w:fill="0d9488" w:color="auto" w:val="clear"/>
            <w:tcMar>
              <w:top w:type="dxa" w:w="80"/>
              <w:left w:type="dxa" w:w="120"/>
              <w:bottom w:type="dxa" w:w="80"/>
              <w:right w:type="dxa" w:w="120"/>
            </w:tcMar>
          </w:tcPr>
          <w:p>
            <w:r>
              <w:rPr>
                <w:rFonts w:ascii="Calibri" w:cs="Calibri" w:eastAsia="Calibri" w:hAnsi="Calibri"/>
                <w:b/>
                <w:bCs/>
                <w:color w:val="ffffff"/>
                <w:sz w:val="18"/>
                <w:szCs w:val="18"/>
              </w:rPr>
              <w:t xml:space="preserve">Exposure predictor (EP) band</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EP1</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Lowest exposure potential: small amounts with low/medium dustiness, or low-volatility millilitre-scale liquids.</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EP2</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Low-to-moderate exposure potential: grams of high-dust solids, kg/tonne of low-dust solids, or millilitres of medium/high-volatility liquids.</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EP3</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Moderate-to-high exposure potential: litre-scale liquid work or kilogram-scale medium/high-dust solid work.</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EP4</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Highest exposure potential: cubic-metre-scale high-volatility liquids or tonne-scale medium/high-dust solids.</w:t>
            </w:r>
          </w:p>
        </w:tc>
      </w:tr>
    </w:tbl>
    <w:p>
      <w:pPr>
        <w:spacing w:after="60"/>
      </w:pP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rPr>
          <w:tblHeader/>
        </w:trPr>
        <w:tc>
          <w:tcPr>
            <w:gridSpan w:val="2"/>
            <w:shd w:fill="0d9488" w:color="auto" w:val="clear"/>
            <w:tcMar>
              <w:top w:type="dxa" w:w="80"/>
              <w:left w:type="dxa" w:w="120"/>
              <w:bottom w:type="dxa" w:w="80"/>
              <w:right w:type="dxa" w:w="120"/>
            </w:tcMar>
          </w:tcPr>
          <w:p>
            <w:r>
              <w:rPr>
                <w:rFonts w:ascii="Calibri" w:cs="Calibri" w:eastAsia="Calibri" w:hAnsi="Calibri"/>
                <w:b/>
                <w:bCs/>
                <w:color w:val="ffffff"/>
                <w:sz w:val="18"/>
                <w:szCs w:val="18"/>
              </w:rPr>
              <w:t xml:space="preserve">Control approach</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Approach 1</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General ventilation and good working practice.</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Approach 2</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Engineering control, normally local exhaust ventilation or equivalent capture / control.</w:t>
            </w:r>
          </w:p>
        </w:tc>
      </w:tr>
      <w:tr>
        <w:tc>
          <w:tcPr>
            <w:tcW w:type="pct" w:w="18%"/>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Approach 3</w:t>
            </w:r>
          </w:p>
        </w:tc>
        <w:tc>
          <w:tcPr>
            <w:tcW w:type="pct" w:w="82%"/>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Containment or enclosure where small breaches may occur.</w:t>
            </w:r>
          </w:p>
        </w:tc>
      </w:tr>
      <w:tr>
        <w:tc>
          <w:tcPr>
            <w:tcW w:type="pct" w:w="18%"/>
            <w:shd w:fill="f8fafc" w:color="auto" w:val="clear"/>
            <w:tcMar>
              <w:top w:type="dxa" w:w="100"/>
              <w:left w:type="dxa" w:w="140"/>
              <w:bottom w:type="dxa" w:w="100"/>
              <w:right w:type="dxa" w:w="140"/>
            </w:tcMar>
          </w:tcPr>
          <w:p>
            <w:pPr>
              <w:spacing w:after="0" w:before="0"/>
            </w:pPr>
            <w:r>
              <w:rPr>
                <w:rFonts w:ascii="Calibri" w:cs="Calibri" w:eastAsia="Calibri" w:hAnsi="Calibri"/>
                <w:b/>
                <w:bCs/>
                <w:color w:val="0f766e"/>
                <w:sz w:val="20"/>
                <w:szCs w:val="20"/>
              </w:rPr>
              <w:t xml:space="preserve">Approach 4</w:t>
            </w:r>
          </w:p>
        </w:tc>
        <w:tc>
          <w:tcPr>
            <w:tcW w:type="pct" w:w="82%"/>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Specialist advice required: the banding screen alone is not sufficient.</w:t>
            </w:r>
          </w:p>
        </w:tc>
      </w:tr>
    </w:tbl>
    <w:p>
      <w:pPr>
        <w:spacing w:after="60"/>
      </w:pPr>
    </w:p>
    <w:p>
      <w:pPr>
        <w:pBdr>
          <w:bottom w:val="single" w:color="0d9488" w:sz="6"/>
        </w:pBdr>
        <w:spacing w:after="80" w:before="180"/>
      </w:pPr>
      <w:r>
        <w:rPr>
          <w:rFonts w:ascii="Calibri" w:cs="Calibri" w:eastAsia="Calibri" w:hAnsi="Calibri"/>
          <w:b/>
          <w:bCs/>
          <w:color w:val="0f766e"/>
          <w:sz w:val="22"/>
          <w:szCs w:val="22"/>
        </w:rPr>
        <w:t xml:space="preserve">GHS pictogram legend</w:t>
      </w:r>
    </w:p>
    <w:p>
      <w:pPr>
        <w:spacing w:after="40" w:before="40"/>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r>
        <w:rPr>
          <w:rFonts w:ascii="Calibri" w:cs="Calibri" w:eastAsia="Calibri" w:hAnsi="Calibri"/>
          <w:sz w:val="20"/>
          <w:szCs w:val="20"/>
        </w:rPr>
        <w:t xml:space="preserve">   </w:t>
      </w: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 cy="533400"/>
                    </a:xfrm>
                    <a:prstGeom prst="rect">
                      <a:avLst/>
                    </a:prstGeom>
                  </pic:spPr>
                </pic:pic>
              </a:graphicData>
            </a:graphic>
          </wp:inline>
        </w:drawing>
      </w:r>
    </w:p>
    <w:p>
      <w:pPr>
        <w:spacing w:after="80" w:before="0"/>
      </w:pPr>
      <w:r>
        <w:rPr>
          <w:rFonts w:ascii="Calibri" w:cs="Calibri" w:eastAsia="Calibri" w:hAnsi="Calibri"/>
          <w:color w:val="64748b"/>
          <w:sz w:val="16"/>
          <w:szCs w:val="16"/>
        </w:rPr>
        <w:t xml:space="preserve">Explosive · Flammable · Oxidising · Gas under pressure · Corrosive · Acute toxicity · Harmful / irritant · Health hazard · Hazardous to environment</w:t>
      </w:r>
    </w:p>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05   CONTROL MEASURES</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Elimination</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Each chemical was reviewed. Remove any substance not required by the SOP before work starts.</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Substitution</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Substitution must be confirmed against the method and SDS. Use lower hazard alternatives where validated and approved.</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Reduction</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Use only the minimum working quantity at the bench; return stock containers immediately after dispensing.</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Administrative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Only trained and authorised personnel may perform the task. Current SDS for all 15 chemicals must be checked before work; reassess before changing chemicals, quantity, concentration or process.</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Air Monitoring</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Review EH40/WEL information and SDS exposure limits. Air monitoring is required where exposure cannot be demonstrated as adequately controlled by containment/LEV or after process/control changes.</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Health Surveillance</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Refer to Occupational Health where SDS, local procedure, sensitiser/CMR classification or potential exposure indicates health surveillance or medical surveillance is required.</w:t>
            </w:r>
          </w:p>
        </w:tc>
      </w:tr>
    </w:tbl>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06   STORAGE</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Storage</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Storage groups generated by CAT must be checked against SDS sections 7 and 10 before use. Keep incompatible groups segregated and retain minimum stock.</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Incompatible substances</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Segregate acids/bases, flammables/oxidisers, cyanides/acids, water-reactives/water or aqueous wastes, and toxics from incompatible groups unless SDS confirms compatibility.</w:t>
            </w:r>
          </w:p>
        </w:tc>
      </w:tr>
    </w:tbl>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07   EMERGENCY RESPONSE AND WASTE</w:t>
      </w:r>
    </w:p>
    <w:tbl>
      <w:tblPr>
        <w:tblW w:type="pct" w:w="100%"/>
        <w:tblBorders>
          <w:top w:val="single" w:color="e2e8f0" w:sz="4"/>
          <w:left w:val="none" w:color="auto" w:sz="0"/>
          <w:bottom w:val="single" w:color="e2e8f0" w:sz="4"/>
          <w:right w:val="none" w:color="auto" w:sz="0"/>
          <w:insideH w:val="single" w:color="e2e8f0" w:sz="4"/>
          <w:insideV w:val="none" w:color="auto" w:sz="0"/>
        </w:tblBorders>
      </w:tblPr>
      <w:tblGrid>
        <w:gridCol w:w="100"/>
        <w:gridCol w:w="100"/>
      </w:tblGrid>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Emergency — Spills</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Follow SDS Section 6 and the local spill procedure. Only trained staff may tackle small known spills with suitable PPE, ventilation and compatible spill media. Escalate for vapour, toxic, reactive, oxidising, cyanide, drain, fire or uncertainty concerns.</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Emergency — First aid</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Use SDS Section 4 as definitive first-aid instruction. Move casualty away if safe, irrigate skin/eyes immediately for corrosive exposure, do not induce vomiting unless medically directed, seek urgent medical advice for toxic/CMR/reactive exposures and send SDS with casualty.</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Emergency — Fire</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Raise alarm and evacuate. Only trained staff may use extinguishers for very small incipient fires where SDS Section 5 confirms suitable media. Do not use water on water-reactive materials unless SDS/emergency responders confirm. Provide SDS and chemical inventory to responders.</w:t>
            </w:r>
          </w:p>
        </w:tc>
      </w:tr>
      <w:tr>
        <w:tc>
          <w:tcPr>
            <w:tcW w:type="pct" w:w="32%"/>
            <w:shd w:fill="f8fafc" w:color="auto" w:val="clear"/>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Waste handling</w:t>
            </w:r>
          </w:p>
        </w:tc>
        <w:tc>
          <w:tcPr>
            <w:tcW w:type="pct" w:w="68%"/>
            <w:shd w:fill="f8fafc" w:color="auto" w:val="clear"/>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Collect waste in compatible, labelled, closed containers under secondary containment. Segregate incompatible waste streams; do not dispose to drain unless SDS/local procedure explicitly permits. Use approved hazardous-waste route.</w:t>
            </w:r>
          </w:p>
        </w:tc>
      </w:tr>
      <w:tr>
        <w:tc>
          <w:tcPr>
            <w:tcW w:type="pct" w:w="32%"/>
            <w:tcMar>
              <w:top w:type="dxa" w:w="100"/>
              <w:left w:type="dxa" w:w="140"/>
              <w:bottom w:type="dxa" w:w="100"/>
              <w:right w:type="dxa" w:w="140"/>
            </w:tcMar>
          </w:tcPr>
          <w:p>
            <w:pPr>
              <w:spacing w:after="0" w:before="0"/>
            </w:pPr>
            <w:r>
              <w:rPr>
                <w:rFonts w:ascii="Calibri" w:cs="Calibri" w:eastAsia="Calibri" w:hAnsi="Calibri"/>
                <w:b/>
                <w:bCs/>
                <w:color w:val="64748b"/>
                <w:sz w:val="20"/>
                <w:szCs w:val="20"/>
              </w:rPr>
              <w:t xml:space="preserve">Other</w:t>
            </w:r>
          </w:p>
        </w:tc>
        <w:tc>
          <w:tcPr>
            <w:tcW w:type="pct" w:w="68%"/>
            <w:tcMar>
              <w:top w:type="dxa" w:w="100"/>
              <w:left w:type="dxa" w:w="140"/>
              <w:bottom w:type="dxa" w:w="100"/>
              <w:right w:type="dxa" w:w="140"/>
            </w:tcMar>
          </w:tcPr>
          <w:p>
            <w:pPr>
              <w:spacing w:after="0" w:before="0"/>
            </w:pPr>
            <w:r>
              <w:rPr>
                <w:rFonts w:ascii="Calibri" w:cs="Calibri" w:eastAsia="Calibri" w:hAnsi="Calibri"/>
                <w:color w:val="0f172a"/>
                <w:sz w:val="20"/>
                <w:szCs w:val="20"/>
              </w:rPr>
              <w:t xml:space="preserve">Emergency shower, eyewash, spill kit and SDS access point must be confirmed before starting.</w:t>
            </w:r>
          </w:p>
        </w:tc>
      </w:tr>
    </w:tbl>
    <w:p>
      <w:pPr>
        <w:pBdr>
          <w:top w:val="single" w:color="0f766e" w:sz="2"/>
          <w:bottom w:val="single" w:color="0f766e" w:sz="2"/>
          <w:left w:val="single" w:color="0f766e" w:sz="2"/>
          <w:right w:val="single" w:color="0f766e" w:sz="2"/>
        </w:pBdr>
        <w:shd w:fill="0d9488" w:color="auto" w:val="clear"/>
        <w:spacing w:after="160" w:before="240"/>
      </w:pPr>
      <w:r>
        <w:rPr>
          <w:rFonts w:ascii="Calibri" w:cs="Calibri" w:eastAsia="Calibri" w:hAnsi="Calibri"/>
          <w:b/>
          <w:bCs/>
          <w:color w:val="ffffff"/>
          <w:sz w:val="26"/>
          <w:szCs w:val="26"/>
        </w:rPr>
        <w:t xml:space="preserve">  08   BRIEFING RECORD</w:t>
      </w:r>
    </w:p>
    <w:p>
      <w:pPr>
        <w:spacing w:after="40" w:before="120"/>
      </w:pPr>
      <w:r>
        <w:rPr>
          <w:rFonts w:ascii="Calibri" w:cs="Calibri" w:eastAsia="Calibri" w:hAnsi="Calibri"/>
          <w:b/>
          <w:bCs/>
          <w:color w:val="0f172a"/>
          <w:sz w:val="22"/>
          <w:szCs w:val="22"/>
        </w:rPr>
        <w:t xml:space="preserve">Test user    ·    2026-05-30</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CAT — COSHH Assessment Tool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051da2d310d46e904b9ac3bbbb25c87a561fe2.png"/><Relationship Id="rId9" Type="http://schemas.openxmlformats.org/officeDocument/2006/relationships/image" Target="media/b84f6b98d68cbb70465c3ff6f7e04c7646d913e3.png"/><Relationship Id="rId10" Type="http://schemas.openxmlformats.org/officeDocument/2006/relationships/image" Target="media/c67143930b3e74240d4bcc3d2e3fcd46171a7a11.png"/><Relationship Id="rId11" Type="http://schemas.openxmlformats.org/officeDocument/2006/relationships/image" Target="media/765faaa47615a1ea8428398182f0afa1ad2c695f.png"/><Relationship Id="rId12" Type="http://schemas.openxmlformats.org/officeDocument/2006/relationships/image" Target="media/acd4fbca33cb8501ec70681b8ecbcda6b6f9d7d1.png"/><Relationship Id="rId13" Type="http://schemas.openxmlformats.org/officeDocument/2006/relationships/image" Target="media/25ccb6a4432864972e16156044ed540f9b90d5d0.png"/><Relationship Id="rId14" Type="http://schemas.openxmlformats.org/officeDocument/2006/relationships/image" Target="media/b991c372951397a141dca14a481e1d215a24cb3f.png"/><Relationship Id="rId15" Type="http://schemas.openxmlformats.org/officeDocument/2006/relationships/image" Target="media/c5da1e506ad5a7c52d27f3327703186bce36cf50.png"/><Relationship Id="rId16" Type="http://schemas.openxmlformats.org/officeDocument/2006/relationships/image" Target="media/dd2421fdb30b18e78b4bc4f24ac2cce130c384f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2026-05-31T14:23:39.064Z</dcterms:created>
  <dcterms:modified xsi:type="dcterms:W3CDTF">2026-05-31T14:23:39.064Z</dcterms:modified>
</cp:coreProperties>
</file>

<file path=docProps/custom.xml><?xml version="1.0" encoding="utf-8"?>
<Properties xmlns="http://schemas.openxmlformats.org/officeDocument/2006/custom-properties" xmlns:vt="http://schemas.openxmlformats.org/officeDocument/2006/docPropsVTypes"/>
</file>