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PROJECT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2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5"/>
        <w:gridCol w:w="2730"/>
        <w:tblGridChange w:id="0">
          <w:tblGrid>
            <w:gridCol w:w="6135"/>
            <w:gridCol w:w="2730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63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61.99999999999994" w:lineRule="auto"/>
              <w:ind w:left="283" w:right="17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Gestión de Pedidos en Línea enfocado en una Cevichería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0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SGC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ESCRIPCIÓN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de Desarrollo de una Plataforma Web de Gestión para la Cevichería tiene como objetivo crear una solución digital integral que optimice la administración y operación de restaurantes especializados en ceviches y mariscos. Este proyecto surge como respuesta a la necesidad de modernizar y automatizar procesos clave en el sector gastronómico, permitiendo a los negocios mejorar su eficiencia y la experiencia de sus clientes.</w:t>
            </w:r>
          </w:p>
          <w:p w:rsidR="00000000" w:rsidDel="00000000" w:rsidP="00000000" w:rsidRDefault="00000000" w:rsidRPr="00000000" w14:paraId="0000000B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desarrollo de esta plataforma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abarcará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distintas fases, incluyendo el análisis de requerimientos, diseño de la interfaz, programación, pruebas y despliegue. Se implementarán módulos específicos para el control de inventarios, administración de empleados, registro de clientes y generación de reportes analíticos. </w:t>
            </w:r>
          </w:p>
          <w:p w:rsidR="00000000" w:rsidDel="00000000" w:rsidP="00000000" w:rsidRDefault="00000000" w:rsidRPr="00000000" w14:paraId="0000000C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está orientado a restaurantes de tamaño pequeño y mediano que buscan digitalizar sus procesos, reducir costos operativos y mejorar su competitividad en el mercado. A través de esta iniciativa, se espera brindar una herramienta innovadora que transforme la forma en que las cevicherías gestionan su negocio, adaptándose a las tendencias actuales del comercio digital y la automatización de servicios.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6" w:righ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EFINICIÓN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RODUCTO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tabs>
                <w:tab w:val="left" w:leader="none" w:pos="423"/>
              </w:tabs>
              <w:spacing w:after="240" w:before="240" w:line="276" w:lineRule="auto"/>
              <w:ind w:left="283.46456692913387" w:right="283.4645669291338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 Gestión en Línea para la Cevichería será una plataforma web diseñada para optimizar la administración y operación de restaurantes especializados en ceviches y mariscos. Permitirá gestionar de manera centralizada los pedidos, inventarios, clientes y ventas en tiempo real, mejorando la eficiencia operativa y la experiencia del cliente.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423"/>
              </w:tabs>
              <w:spacing w:after="240" w:before="240" w:line="276" w:lineRule="auto"/>
              <w:ind w:left="283.46456692913387" w:right="283.4645669291338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plataforma contará con una interfaz intuitiva y accesible desde cualquier dispositivo con conexión a internet, permitiendo a los clientes realizar pedidos en línea, reservar mesas y efectuar pagos de manera segura. Al mismo tiempo, brindará a los administradores herramientas avanzadas para el control de inventarios, la gestión de empleados, la visualización de métricas de ventas y la generación de reportes analíticos para la toma de decisiones estratégicas.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left="0" w:right="184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before="7" w:line="150" w:lineRule="auto"/>
        <w:rPr>
          <w:sz w:val="15"/>
          <w:szCs w:val="15"/>
        </w:rPr>
        <w:sectPr>
          <w:headerReference r:id="rId7" w:type="default"/>
          <w:pgSz w:h="16840" w:w="11900" w:orient="portrait"/>
          <w:pgMar w:bottom="280" w:top="1800" w:left="1180" w:right="134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1.0" w:type="dxa"/>
        <w:jc w:val="left"/>
        <w:tblInd w:w="2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1"/>
        <w:tblGridChange w:id="0">
          <w:tblGrid>
            <w:gridCol w:w="8891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="224" w:lineRule="auto"/>
              <w:ind w:left="33" w:right="35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EFINICIÓN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EQUISITOS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1" w:line="276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funcionales: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 y Autenticación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Permite a los usuarios iniciar sesión en la plataforma.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Registro y Gestión de Pedidos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Creación, modificación y cancelación de pedidos.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Añadir Adicionales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Posibilidad de agregar extras a los pedidos.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Gestión de Clientes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Administración de la información de los clientes.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Modificación de Datos del Cliente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Actualización de la información de los clientes registrados.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Eliminación de Clientes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Opción para remover clientes del sistema.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Gestión del menú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Administración de productos y precios en el menú.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 y Edición de Pedidos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Posibilidad de visualizar, modificar y confirmar pedidos antes de su procesamiento.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right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no funcionales: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Funcionalidad: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La seguridad de acceso debe usarse un Firewall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Rendimiento: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El tiempo de respuesta no debe 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más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de 20 segundos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Fiabilidad: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Se tenga un respaldo ante caídas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tiempo de recuperación ante una caída no sea mayor a 10 segundo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Disponibilidad: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24/7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Portabilidad: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sistema podrá funcionar en Chrome y Edge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Usabilidad: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Debe ser intuitivo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before="16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6"/>
        <w:gridCol w:w="2241"/>
        <w:gridCol w:w="1726"/>
        <w:gridCol w:w="117"/>
        <w:gridCol w:w="2875"/>
        <w:tblGridChange w:id="0">
          <w:tblGrid>
            <w:gridCol w:w="2086"/>
            <w:gridCol w:w="2241"/>
            <w:gridCol w:w="1726"/>
            <w:gridCol w:w="117"/>
            <w:gridCol w:w="287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1" w:right="32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BJETIVOS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499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ONCEPTO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3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BJETIVOS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565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CRITERIO DE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É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XITO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5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1.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right="6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será un aplicativo web que cumpla las funcionalidades necesarias referentes a un restaurante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right="6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line="217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cumpla los requisitos funcionales y no funcionales del sistema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ind w:left="49" w:firstLine="0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2. TIEMPO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inicio: 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: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57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Que se cumplas las fechas establecidas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ind w:left="50" w:firstLine="0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3. COSTO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Que se cumpla el presupuesto establecido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57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pasarse del presupuesto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40" w:right="38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INALIDAD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tiene como finalidad digitalizar y optimizar la administración de restaurantes especializados en ceviches y mariscos. A través de esta solución tecnológica, se busca mejorar la eficiencia operativa, reducir costos, aumentar la satisfacción del cliente y potenciar la rentabilidad del negocio.</w:t>
            </w:r>
          </w:p>
          <w:p w:rsidR="00000000" w:rsidDel="00000000" w:rsidP="00000000" w:rsidRDefault="00000000" w:rsidRPr="00000000" w14:paraId="0000004B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Además, el proyecto tiene como objetivo modernizar el modelo de negocio de las cevicherías, adaptándolas a las nuevas tendencias digitales, fomentando la automatización de tareas y ofreciendo una experiencia de usuario innovadora tanto para los clientes como para los administradores del restaurante.</w:t>
            </w:r>
          </w:p>
        </w:tc>
      </w:tr>
    </w:tbl>
    <w:p w:rsidR="00000000" w:rsidDel="00000000" w:rsidP="00000000" w:rsidRDefault="00000000" w:rsidRPr="00000000" w14:paraId="00000050">
      <w:pPr>
        <w:spacing w:before="3" w:line="280" w:lineRule="auto"/>
        <w:rPr>
          <w:sz w:val="28"/>
          <w:szCs w:val="28"/>
        </w:rPr>
        <w:sectPr>
          <w:type w:val="nextPage"/>
          <w:pgSz w:h="16840" w:w="11900" w:orient="portrait"/>
          <w:pgMar w:bottom="280" w:top="1800" w:left="1180" w:right="1300" w:header="72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6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2940"/>
        <w:gridCol w:w="4470"/>
        <w:tblGridChange w:id="0">
          <w:tblGrid>
            <w:gridCol w:w="1560"/>
            <w:gridCol w:w="2940"/>
            <w:gridCol w:w="447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ESIGNACIÓN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ROJECT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ANAGER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216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OMBRE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8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Sandoval Falcon, David Brian 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6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IVELES DE AUTORIDAD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EPORTA A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8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Gerente de TI de Cevicheria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Exigen el cumplimiento de requisitos por hito, gestionan los avances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UPERVISA 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04" w:lineRule="auto"/>
              <w:ind w:left="63" w:right="64" w:firstLine="0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before="1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RONOGRAMA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ITOS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806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ITO 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VENTO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IGNIFICATIVO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1462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ECHA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ROGRAMADA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1: Análisis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2: 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720" w:right="357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3: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6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RGANIZACIONES O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RUPOS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RGANIZACIONALES QUE INTERVIENEN EN 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09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RGANIZACIÓN 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RUPO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RGANIZACIONAL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465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OL QUE DESEMPEÑA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JuliaFish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Dueña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FisiDev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desarrolladora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45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35"/>
        <w:gridCol w:w="3735"/>
        <w:gridCol w:w="1275"/>
        <w:tblGridChange w:id="0">
          <w:tblGrid>
            <w:gridCol w:w="3735"/>
            <w:gridCol w:w="3735"/>
            <w:gridCol w:w="1275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ISTA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7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1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Propietarios del restaurante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Clientes del restaurante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RESUPUESTO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RELIMINAR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29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ONCEPTO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23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ONTO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(US$)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12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Front-End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43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Back-End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 Diseño e Implementación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Diseño e Implementación APIs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42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Levantamiento y Especificación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60 horas Diseño de la Arquitectura del Sistema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before="3" w:lineRule="auto"/>
              <w:ind w:right="36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3" w:lineRule="auto"/>
              <w:ind w:left="614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4650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783"/>
              </w:tabs>
              <w:spacing w:before="1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Reserva de Contingencia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783"/>
              </w:tabs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2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783"/>
              </w:tabs>
              <w:spacing w:line="203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Reserva de Gestión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783"/>
              </w:tabs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03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spacing w:before="3" w:lineRule="auto"/>
              <w:ind w:right="36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3" w:lineRule="auto"/>
              <w:ind w:left="513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5580</w:t>
            </w:r>
          </w:p>
        </w:tc>
      </w:tr>
    </w:tbl>
    <w:p w:rsidR="00000000" w:rsidDel="00000000" w:rsidP="00000000" w:rsidRDefault="00000000" w:rsidRPr="00000000" w14:paraId="000000A1">
      <w:pPr>
        <w:spacing w:before="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2"/>
        <w:gridCol w:w="2340"/>
        <w:gridCol w:w="2338"/>
        <w:tblGridChange w:id="0">
          <w:tblGrid>
            <w:gridCol w:w="2160"/>
            <w:gridCol w:w="2162"/>
            <w:gridCol w:w="2340"/>
            <w:gridCol w:w="233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00b0f0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SPONSOR QUE AUTORIZA 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88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OMBRE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90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MPRESA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1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25" w:firstLine="0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ECHA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Luiz Perez Garcia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Cevicheria JuliaFish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709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27/03/25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800" w:left="1180" w:right="1300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Arial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spacing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spacing w:before="42"/>
      <w:ind w:left="1641"/>
      <w:outlineLvl w:val="0"/>
    </w:pPr>
    <w:rPr>
      <w:rFonts w:ascii="Verdana" w:cs="Verdana" w:eastAsia="Verdana" w:hAnsi="Verdana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ind w:left="2332"/>
      <w:outlineLvl w:val="1"/>
    </w:pPr>
    <w:rPr>
      <w:rFonts w:ascii="Verdana" w:cs="Verdana" w:eastAsia="Verdana" w:hAnsi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spacing w:before="72"/>
      <w:ind w:left="315"/>
      <w:outlineLvl w:val="2"/>
    </w:pPr>
    <w:rPr>
      <w:rFonts w:ascii="Arial" w:cs="Arial" w:eastAsia="Arial" w:hAnsi="Arial"/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ind w:left="315" w:hanging="348"/>
      <w:outlineLvl w:val="3"/>
    </w:pPr>
    <w:rPr>
      <w:rFonts w:ascii="Arial" w:cs="Arial" w:eastAsia="Arial" w:hAnsi="Arial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ind w:left="281"/>
      <w:outlineLvl w:val="4"/>
    </w:pPr>
    <w:rPr>
      <w:rFonts w:ascii="Tahoma" w:cs="Tahoma" w:eastAsia="Tahoma" w:hAnsi="Tahoma"/>
      <w:sz w:val="20"/>
      <w:szCs w:val="2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DC14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ZBDTES+CH5YQfDb9ytL41WEORQ==">CgMxLjAyCGguZ2pkZ3hzOAByITFBSk85NmZZSnVaVFZfZkZPa19sSzFXb2dLQUJrZnRJcQ==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2024-08-29T20:45:00Z</dcterms:created>
  <dc:creator>Lenis Wong</dc:creator>
</cp:coreProperties>
</file>