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DAFA477">
      <w:pPr>
        <w:snapToGrid w:val="0"/>
        <w:spacing w:line="480" w:lineRule="auto"/>
        <w:ind w:left="-315" w:leftChars="-150"/>
        <w:jc w:val="center"/>
        <w:rPr>
          <w:rFonts w:eastAsia="黑体"/>
          <w:b/>
          <w:sz w:val="30"/>
          <w:szCs w:val="30"/>
        </w:rPr>
      </w:pPr>
    </w:p>
    <w:p w14:paraId="26451FDB">
      <w:pPr>
        <w:snapToGrid w:val="0"/>
        <w:spacing w:line="480" w:lineRule="auto"/>
        <w:ind w:left="-315" w:leftChars="-150"/>
        <w:jc w:val="center"/>
        <w:rPr>
          <w:rFonts w:eastAsia="黑体"/>
          <w:b/>
          <w:sz w:val="30"/>
          <w:szCs w:val="30"/>
        </w:rPr>
      </w:pPr>
      <w:r>
        <w:object>
          <v:shape id="_x0000_i1025" o:spt="75" type="#_x0000_t75" style="height:89.6pt;width:278.8pt;" o:ole="t" filled="f" o:preferrelative="t" stroked="f" coordsize="21600,21600">
            <v:path/>
            <v:fill on="f" focussize="0,0"/>
            <v:stroke on="f" joinstyle="miter"/>
            <v:imagedata r:id="rId5" o:title=""/>
            <o:lock v:ext="edit" aspectratio="t"/>
            <w10:wrap type="none"/>
            <w10:anchorlock/>
          </v:shape>
          <o:OLEObject Type="Embed" ProgID="CorelDraw.Graphic.23" ShapeID="_x0000_i1025" DrawAspect="Content" ObjectID="_1468075725" r:id="rId4">
            <o:LockedField>false</o:LockedField>
          </o:OLEObject>
        </w:object>
      </w:r>
    </w:p>
    <w:p w14:paraId="44E3D7FE">
      <w:pPr>
        <w:spacing w:line="480" w:lineRule="auto"/>
        <w:jc w:val="center"/>
        <w:rPr>
          <w:rFonts w:ascii="仿宋_GB2312" w:eastAsia="仿宋_GB2312"/>
          <w:b/>
          <w:sz w:val="64"/>
          <w:szCs w:val="64"/>
        </w:rPr>
      </w:pPr>
    </w:p>
    <w:p w14:paraId="73E21764">
      <w:pPr>
        <w:spacing w:line="480" w:lineRule="auto"/>
        <w:jc w:val="center"/>
        <w:rPr>
          <w:rFonts w:hint="eastAsia" w:ascii="方正小标宋简体" w:hAnsi="黑体" w:eastAsia="方正小标宋简体"/>
          <w:b/>
          <w:sz w:val="52"/>
          <w:szCs w:val="52"/>
        </w:rPr>
      </w:pPr>
      <w:r>
        <w:rPr>
          <w:rFonts w:hint="eastAsia" w:ascii="方正小标宋简体" w:hAnsi="黑体" w:eastAsia="方正小标宋简体"/>
          <w:b/>
          <w:sz w:val="52"/>
          <w:szCs w:val="52"/>
        </w:rPr>
        <w:t>国家（市）级大学生创新训练项目</w:t>
      </w:r>
    </w:p>
    <w:p w14:paraId="43A85BA7">
      <w:pPr>
        <w:spacing w:line="480" w:lineRule="auto"/>
        <w:jc w:val="center"/>
        <w:rPr>
          <w:rFonts w:hint="eastAsia" w:ascii="方正小标宋简体" w:hAnsi="黑体" w:eastAsia="方正小标宋简体"/>
          <w:b/>
          <w:sz w:val="52"/>
          <w:szCs w:val="52"/>
        </w:rPr>
      </w:pPr>
      <w:r>
        <w:rPr>
          <w:rFonts w:hint="eastAsia" w:ascii="方正小标宋简体" w:hAnsi="黑体" w:eastAsia="方正小标宋简体"/>
          <w:b/>
          <w:sz w:val="52"/>
          <w:szCs w:val="52"/>
        </w:rPr>
        <w:t>中期检查报告</w:t>
      </w:r>
    </w:p>
    <w:p w14:paraId="2CD0E71E">
      <w:pPr>
        <w:spacing w:line="480" w:lineRule="auto"/>
        <w:ind w:firstLine="321" w:firstLineChars="100"/>
        <w:jc w:val="center"/>
        <w:rPr>
          <w:b/>
          <w:bCs/>
          <w:sz w:val="32"/>
        </w:rPr>
      </w:pPr>
    </w:p>
    <w:p w14:paraId="653F2E62">
      <w:pPr>
        <w:spacing w:line="480" w:lineRule="auto"/>
        <w:rPr>
          <w:b/>
          <w:bCs/>
          <w:sz w:val="32"/>
        </w:rPr>
      </w:pPr>
    </w:p>
    <w:p w14:paraId="43E34031">
      <w:pPr>
        <w:spacing w:line="480" w:lineRule="auto"/>
        <w:ind w:left="2186" w:leftChars="184" w:hanging="1800" w:hangingChars="500"/>
        <w:jc w:val="left"/>
        <w:rPr>
          <w:rFonts w:ascii="仿宋_GB2312" w:eastAsia="仿宋_GB2312"/>
          <w:sz w:val="36"/>
          <w:szCs w:val="36"/>
        </w:rPr>
      </w:pPr>
      <w:r>
        <w:rPr>
          <w:rFonts w:hint="eastAsia" w:ascii="仿宋_GB2312" w:eastAsia="仿宋_GB2312"/>
          <w:sz w:val="36"/>
          <w:szCs w:val="36"/>
        </w:rPr>
        <w:t>项目名称：</w:t>
      </w:r>
      <w:r>
        <w:rPr>
          <w:rFonts w:hint="eastAsia" w:ascii="仿宋_GB2312" w:eastAsia="仿宋_GB2312"/>
          <w:sz w:val="36"/>
          <w:szCs w:val="36"/>
          <w:u w:val="single"/>
        </w:rPr>
        <w:t xml:space="preserve"> </w:t>
      </w:r>
      <w:r>
        <w:rPr>
          <w:rFonts w:ascii="仿宋_GB2312" w:eastAsia="仿宋_GB2312"/>
          <w:sz w:val="36"/>
          <w:szCs w:val="36"/>
          <w:u w:val="single"/>
        </w:rPr>
        <w:t>面向四足机器人自主泊接的抗偏移LCC-LCC</w:t>
      </w:r>
      <w:r>
        <w:rPr>
          <w:rFonts w:hint="eastAsia" w:ascii="仿宋_GB2312" w:eastAsia="仿宋_GB2312"/>
          <w:sz w:val="36"/>
          <w:szCs w:val="36"/>
          <w:u w:val="single"/>
        </w:rPr>
        <w:t xml:space="preserve"> </w:t>
      </w:r>
      <w:r>
        <w:rPr>
          <w:rFonts w:ascii="仿宋_GB2312" w:eastAsia="仿宋_GB2312"/>
          <w:sz w:val="36"/>
          <w:szCs w:val="36"/>
          <w:u w:val="single"/>
        </w:rPr>
        <w:t xml:space="preserve">磁耦合无线充电系统研究 </w:t>
      </w:r>
    </w:p>
    <w:p w14:paraId="0022626F">
      <w:pPr>
        <w:spacing w:line="480" w:lineRule="auto"/>
        <w:ind w:firstLine="1800" w:firstLineChars="500"/>
        <w:jc w:val="left"/>
        <w:rPr>
          <w:rFonts w:ascii="仿宋_GB2312" w:eastAsia="仿宋_GB2312"/>
          <w:sz w:val="36"/>
          <w:szCs w:val="36"/>
        </w:rPr>
      </w:pPr>
      <w:r>
        <w:rPr>
          <w:rFonts w:hint="eastAsia" w:ascii="仿宋_GB2312" w:eastAsia="仿宋_GB2312"/>
          <w:sz w:val="36"/>
          <w:szCs w:val="36"/>
        </w:rPr>
        <w:t>项目编号：</w:t>
      </w:r>
      <w:r>
        <w:rPr>
          <w:rFonts w:hint="eastAsia" w:ascii="仿宋_GB2312" w:eastAsia="仿宋_GB2312"/>
          <w:sz w:val="36"/>
          <w:szCs w:val="36"/>
          <w:u w:val="single"/>
        </w:rPr>
        <w:t xml:space="preserve"> </w:t>
      </w:r>
      <w:r>
        <w:rPr>
          <w:rFonts w:ascii="仿宋_GB2312" w:eastAsia="仿宋_GB2312"/>
          <w:sz w:val="36"/>
          <w:szCs w:val="36"/>
          <w:u w:val="single"/>
        </w:rPr>
        <w:t xml:space="preserve">                </w:t>
      </w:r>
    </w:p>
    <w:p w14:paraId="4226EC81">
      <w:pPr>
        <w:spacing w:line="480" w:lineRule="auto"/>
        <w:ind w:firstLine="1800" w:firstLineChars="500"/>
        <w:rPr>
          <w:rFonts w:ascii="仿宋_GB2312" w:eastAsia="仿宋_GB2312"/>
          <w:sz w:val="36"/>
          <w:szCs w:val="36"/>
        </w:rPr>
      </w:pPr>
      <w:r>
        <w:rPr>
          <w:rFonts w:hint="eastAsia" w:ascii="仿宋_GB2312" w:eastAsia="仿宋_GB2312"/>
          <w:sz w:val="36"/>
          <w:szCs w:val="36"/>
        </w:rPr>
        <w:t>所属学院：</w:t>
      </w:r>
      <w:r>
        <w:rPr>
          <w:rFonts w:hint="eastAsia" w:ascii="仿宋_GB2312" w:eastAsia="仿宋_GB2312"/>
          <w:sz w:val="36"/>
          <w:szCs w:val="36"/>
          <w:u w:val="single"/>
        </w:rPr>
        <w:t xml:space="preserve"> </w:t>
      </w:r>
      <w:r>
        <w:rPr>
          <w:rFonts w:ascii="仿宋_GB2312" w:eastAsia="仿宋_GB2312"/>
          <w:sz w:val="36"/>
          <w:szCs w:val="36"/>
          <w:u w:val="single"/>
        </w:rPr>
        <w:t xml:space="preserve"> </w:t>
      </w:r>
      <w:r>
        <w:rPr>
          <w:rFonts w:hint="eastAsia" w:ascii="仿宋_GB2312" w:eastAsia="仿宋_GB2312"/>
          <w:sz w:val="36"/>
          <w:szCs w:val="36"/>
          <w:u w:val="single"/>
        </w:rPr>
        <w:t>卓越工程师学院</w:t>
      </w:r>
      <w:r>
        <w:rPr>
          <w:rFonts w:ascii="仿宋_GB2312" w:eastAsia="仿宋_GB2312"/>
          <w:sz w:val="36"/>
          <w:szCs w:val="36"/>
          <w:u w:val="single"/>
        </w:rPr>
        <w:t xml:space="preserve"> </w:t>
      </w:r>
    </w:p>
    <w:p w14:paraId="6A4BE2D6">
      <w:pPr>
        <w:spacing w:line="480" w:lineRule="auto"/>
        <w:ind w:firstLine="1800" w:firstLineChars="500"/>
        <w:rPr>
          <w:rFonts w:ascii="仿宋_GB2312" w:eastAsia="仿宋_GB2312"/>
          <w:sz w:val="36"/>
          <w:szCs w:val="36"/>
        </w:rPr>
      </w:pPr>
      <w:r>
        <w:rPr>
          <w:rFonts w:hint="eastAsia" w:ascii="仿宋_GB2312" w:eastAsia="仿宋_GB2312"/>
          <w:sz w:val="36"/>
          <w:szCs w:val="36"/>
        </w:rPr>
        <w:t>项目负责人：</w:t>
      </w:r>
      <w:r>
        <w:rPr>
          <w:rFonts w:hint="eastAsia" w:ascii="仿宋_GB2312" w:eastAsia="仿宋_GB2312"/>
          <w:sz w:val="36"/>
          <w:szCs w:val="36"/>
          <w:u w:val="single"/>
        </w:rPr>
        <w:t xml:space="preserve"> </w:t>
      </w:r>
      <w:r>
        <w:rPr>
          <w:rFonts w:ascii="仿宋_GB2312" w:eastAsia="仿宋_GB2312"/>
          <w:sz w:val="36"/>
          <w:szCs w:val="36"/>
          <w:u w:val="single"/>
        </w:rPr>
        <w:t xml:space="preserve">   </w:t>
      </w:r>
      <w:r>
        <w:rPr>
          <w:rFonts w:hint="eastAsia" w:ascii="仿宋_GB2312" w:eastAsia="仿宋_GB2312"/>
          <w:sz w:val="36"/>
          <w:szCs w:val="36"/>
          <w:u w:val="single"/>
        </w:rPr>
        <w:t>邓小军</w:t>
      </w:r>
      <w:r>
        <w:rPr>
          <w:rFonts w:ascii="仿宋_GB2312" w:eastAsia="仿宋_GB2312"/>
          <w:sz w:val="36"/>
          <w:szCs w:val="36"/>
          <w:u w:val="single"/>
        </w:rPr>
        <w:t xml:space="preserve">     </w:t>
      </w:r>
    </w:p>
    <w:p w14:paraId="7C4A0906">
      <w:pPr>
        <w:spacing w:line="480" w:lineRule="auto"/>
        <w:ind w:firstLine="1800" w:firstLineChars="500"/>
        <w:rPr>
          <w:rFonts w:ascii="仿宋_GB2312" w:eastAsia="仿宋_GB2312"/>
          <w:sz w:val="36"/>
          <w:szCs w:val="36"/>
        </w:rPr>
      </w:pPr>
      <w:r>
        <w:rPr>
          <w:rFonts w:hint="eastAsia" w:ascii="仿宋_GB2312" w:eastAsia="仿宋_GB2312"/>
          <w:sz w:val="36"/>
          <w:szCs w:val="36"/>
        </w:rPr>
        <w:t>联系电话：</w:t>
      </w:r>
      <w:r>
        <w:rPr>
          <w:rFonts w:hint="eastAsia" w:ascii="仿宋_GB2312" w:eastAsia="仿宋_GB2312"/>
          <w:sz w:val="36"/>
          <w:szCs w:val="36"/>
          <w:u w:val="single"/>
        </w:rPr>
        <w:t xml:space="preserve"> </w:t>
      </w:r>
      <w:r>
        <w:rPr>
          <w:rFonts w:ascii="仿宋_GB2312" w:eastAsia="仿宋_GB2312"/>
          <w:sz w:val="36"/>
          <w:szCs w:val="36"/>
          <w:u w:val="single"/>
        </w:rPr>
        <w:t xml:space="preserve"> </w:t>
      </w:r>
      <w:r>
        <w:rPr>
          <w:rFonts w:hint="eastAsia" w:ascii="仿宋_GB2312" w:eastAsia="仿宋_GB2312"/>
          <w:sz w:val="36"/>
          <w:szCs w:val="36"/>
          <w:u w:val="single"/>
        </w:rPr>
        <w:t xml:space="preserve">19897748503  </w:t>
      </w:r>
      <w:r>
        <w:rPr>
          <w:rFonts w:ascii="仿宋_GB2312" w:eastAsia="仿宋_GB2312"/>
          <w:sz w:val="36"/>
          <w:szCs w:val="36"/>
          <w:u w:val="single"/>
        </w:rPr>
        <w:t xml:space="preserve">  </w:t>
      </w:r>
    </w:p>
    <w:p w14:paraId="3F4930DA">
      <w:pPr>
        <w:spacing w:line="480" w:lineRule="auto"/>
        <w:ind w:firstLine="1800" w:firstLineChars="500"/>
        <w:rPr>
          <w:rFonts w:ascii="仿宋_GB2312" w:eastAsia="仿宋_GB2312"/>
          <w:bCs/>
          <w:sz w:val="36"/>
          <w:szCs w:val="36"/>
        </w:rPr>
      </w:pPr>
      <w:r>
        <w:rPr>
          <w:rFonts w:hint="eastAsia" w:ascii="仿宋_GB2312" w:eastAsia="仿宋_GB2312"/>
          <w:bCs/>
          <w:sz w:val="36"/>
          <w:szCs w:val="36"/>
        </w:rPr>
        <w:t>项目组成员：</w:t>
      </w:r>
      <w:r>
        <w:rPr>
          <w:rFonts w:hint="eastAsia" w:ascii="仿宋_GB2312" w:eastAsia="仿宋_GB2312"/>
          <w:bCs/>
          <w:sz w:val="36"/>
          <w:szCs w:val="36"/>
          <w:u w:val="single"/>
        </w:rPr>
        <w:t xml:space="preserve"> 严禹、王义辰 </w:t>
      </w:r>
      <w:r>
        <w:rPr>
          <w:rFonts w:ascii="仿宋_GB2312" w:eastAsia="仿宋_GB2312"/>
          <w:bCs/>
          <w:sz w:val="36"/>
          <w:szCs w:val="36"/>
          <w:u w:val="single"/>
        </w:rPr>
        <w:t xml:space="preserve"> </w:t>
      </w:r>
    </w:p>
    <w:p w14:paraId="75E3F6D4">
      <w:pPr>
        <w:spacing w:line="480" w:lineRule="auto"/>
        <w:ind w:firstLine="1800" w:firstLineChars="500"/>
        <w:rPr>
          <w:rFonts w:ascii="仿宋_GB2312" w:eastAsia="仿宋_GB2312"/>
          <w:sz w:val="36"/>
          <w:szCs w:val="36"/>
          <w:u w:val="single"/>
        </w:rPr>
      </w:pPr>
      <w:r>
        <w:rPr>
          <w:rFonts w:hint="eastAsia" w:ascii="仿宋_GB2312" w:eastAsia="仿宋_GB2312"/>
          <w:sz w:val="36"/>
          <w:szCs w:val="36"/>
        </w:rPr>
        <w:t>指导教师：</w:t>
      </w:r>
      <w:r>
        <w:rPr>
          <w:rFonts w:hint="eastAsia" w:ascii="仿宋_GB2312" w:eastAsia="仿宋_GB2312"/>
          <w:sz w:val="36"/>
          <w:szCs w:val="36"/>
          <w:u w:val="single"/>
        </w:rPr>
        <w:t xml:space="preserve"> </w:t>
      </w:r>
      <w:r>
        <w:rPr>
          <w:rFonts w:ascii="仿宋_GB2312" w:eastAsia="仿宋_GB2312"/>
          <w:sz w:val="36"/>
          <w:szCs w:val="36"/>
          <w:u w:val="single"/>
        </w:rPr>
        <w:t xml:space="preserve">    </w:t>
      </w:r>
      <w:r>
        <w:rPr>
          <w:rFonts w:hint="eastAsia" w:ascii="仿宋_GB2312" w:eastAsia="仿宋_GB2312"/>
          <w:sz w:val="36"/>
          <w:szCs w:val="36"/>
          <w:u w:val="single"/>
        </w:rPr>
        <w:t xml:space="preserve">卢伟国 </w:t>
      </w:r>
      <w:r>
        <w:rPr>
          <w:rFonts w:ascii="仿宋_GB2312" w:eastAsia="仿宋_GB2312"/>
          <w:sz w:val="36"/>
          <w:szCs w:val="36"/>
          <w:u w:val="single"/>
        </w:rPr>
        <w:t xml:space="preserve">     </w:t>
      </w:r>
    </w:p>
    <w:p w14:paraId="458128D6">
      <w:pPr>
        <w:spacing w:line="480" w:lineRule="auto"/>
        <w:ind w:firstLine="1800" w:firstLineChars="500"/>
        <w:rPr>
          <w:rFonts w:ascii="仿宋_GB2312" w:eastAsia="仿宋_GB2312"/>
          <w:sz w:val="36"/>
          <w:szCs w:val="36"/>
          <w:u w:val="single"/>
        </w:rPr>
      </w:pPr>
    </w:p>
    <w:p w14:paraId="07088378">
      <w:pPr>
        <w:jc w:val="center"/>
        <w:rPr>
          <w:rFonts w:ascii="仿宋_GB2312" w:eastAsia="仿宋_GB2312"/>
          <w:b/>
          <w:sz w:val="32"/>
          <w:szCs w:val="32"/>
        </w:rPr>
      </w:pPr>
    </w:p>
    <w:p w14:paraId="6CA85162">
      <w:pPr>
        <w:jc w:val="center"/>
        <w:rPr>
          <w:rFonts w:hint="eastAsia" w:ascii="宋体" w:hAnsi="宋体"/>
          <w:sz w:val="28"/>
          <w:szCs w:val="28"/>
        </w:rPr>
      </w:pPr>
      <w:r>
        <w:rPr>
          <w:rFonts w:hint="eastAsia" w:ascii="仿宋_GB2312" w:eastAsia="仿宋_GB2312"/>
          <w:b/>
          <w:sz w:val="32"/>
          <w:szCs w:val="32"/>
        </w:rPr>
        <w:t>本科生院 制</w:t>
      </w:r>
    </w:p>
    <w:p w14:paraId="1046FEB0">
      <w:pPr>
        <w:jc w:val="center"/>
        <w:rPr>
          <w:rFonts w:ascii="仿宋_GB2312" w:eastAsia="仿宋_GB2312"/>
          <w:b/>
          <w:sz w:val="32"/>
          <w:szCs w:val="32"/>
        </w:rPr>
      </w:pPr>
      <w:r>
        <w:rPr>
          <w:rFonts w:hint="eastAsia" w:ascii="仿宋_GB2312" w:eastAsia="仿宋_GB2312"/>
          <w:b/>
          <w:sz w:val="32"/>
          <w:szCs w:val="32"/>
        </w:rPr>
        <w:t>填写说明</w:t>
      </w:r>
    </w:p>
    <w:p w14:paraId="0EA55093">
      <w:pPr>
        <w:jc w:val="center"/>
        <w:rPr>
          <w:rFonts w:ascii="仿宋_GB2312" w:eastAsia="仿宋_GB2312"/>
          <w:b/>
          <w:sz w:val="32"/>
          <w:szCs w:val="32"/>
        </w:rPr>
      </w:pPr>
    </w:p>
    <w:p w14:paraId="7710D870">
      <w:pPr>
        <w:spacing w:line="360" w:lineRule="auto"/>
        <w:ind w:firstLine="720" w:firstLineChars="300"/>
        <w:rPr>
          <w:rFonts w:hint="eastAsia" w:ascii="仿宋_GB2312" w:hAnsi="宋体" w:eastAsia="仿宋_GB2312"/>
          <w:bCs/>
          <w:sz w:val="24"/>
        </w:rPr>
      </w:pPr>
      <w:r>
        <w:rPr>
          <w:rFonts w:hint="eastAsia" w:ascii="仿宋_GB2312" w:hAnsi="宋体" w:eastAsia="仿宋_GB2312"/>
          <w:bCs/>
          <w:sz w:val="24"/>
        </w:rPr>
        <w:t>1、本表填写内容必须与事实相符，逐项认真填写，表达准确严谨。空缺项要填“无”。</w:t>
      </w:r>
    </w:p>
    <w:p w14:paraId="5C4C3400">
      <w:pPr>
        <w:spacing w:line="360" w:lineRule="auto"/>
        <w:ind w:left="239" w:leftChars="114" w:firstLine="480" w:firstLineChars="200"/>
        <w:rPr>
          <w:rFonts w:hint="eastAsia" w:ascii="仿宋_GB2312" w:hAnsi="宋体" w:eastAsia="仿宋_GB2312"/>
          <w:bCs/>
          <w:sz w:val="24"/>
        </w:rPr>
      </w:pPr>
      <w:r>
        <w:rPr>
          <w:rFonts w:hint="eastAsia" w:ascii="仿宋_GB2312" w:hAnsi="宋体" w:eastAsia="仿宋_GB2312"/>
          <w:bCs/>
          <w:sz w:val="24"/>
        </w:rPr>
        <w:t>2、报告书填写内容应言简意赅，思路清晰，论证充分，字迹清楚，一律用计算机输入打印。</w:t>
      </w:r>
    </w:p>
    <w:p w14:paraId="7273D2D1">
      <w:pPr>
        <w:spacing w:line="360" w:lineRule="auto"/>
        <w:ind w:left="239" w:leftChars="114" w:firstLine="480" w:firstLineChars="200"/>
        <w:rPr>
          <w:rFonts w:hint="eastAsia" w:ascii="仿宋_GB2312" w:hAnsi="宋体" w:eastAsia="仿宋_GB2312"/>
          <w:bCs/>
          <w:sz w:val="24"/>
        </w:rPr>
      </w:pPr>
      <w:r>
        <w:rPr>
          <w:rFonts w:hint="eastAsia" w:ascii="仿宋_GB2312" w:hAnsi="宋体" w:eastAsia="仿宋_GB2312"/>
          <w:bCs/>
          <w:sz w:val="24"/>
        </w:rPr>
        <w:t>3、需签字部分由相关人员以黑色钢笔或水笔签名。均用</w:t>
      </w:r>
      <w:r>
        <w:rPr>
          <w:rFonts w:ascii="仿宋_GB2312" w:hAnsi="宋体" w:eastAsia="仿宋_GB2312"/>
          <w:bCs/>
          <w:sz w:val="24"/>
        </w:rPr>
        <w:t>A4纸双面打印，于左侧装订成册。</w:t>
      </w:r>
    </w:p>
    <w:p w14:paraId="606B8E90">
      <w:pPr>
        <w:spacing w:line="360" w:lineRule="auto"/>
        <w:ind w:left="239" w:leftChars="114" w:firstLine="480" w:firstLineChars="200"/>
        <w:rPr>
          <w:rFonts w:hint="eastAsia" w:ascii="仿宋_GB2312" w:hAnsi="宋体" w:eastAsia="仿宋_GB2312"/>
          <w:bCs/>
          <w:sz w:val="24"/>
        </w:rPr>
      </w:pPr>
      <w:r>
        <w:rPr>
          <w:rFonts w:hint="eastAsia" w:ascii="仿宋_GB2312" w:hAnsi="宋体" w:eastAsia="仿宋_GB2312"/>
          <w:bCs/>
          <w:sz w:val="24"/>
        </w:rPr>
        <w:t>4、格式要求：</w:t>
      </w:r>
    </w:p>
    <w:p w14:paraId="19492738">
      <w:pPr>
        <w:spacing w:line="360" w:lineRule="auto"/>
        <w:ind w:left="239" w:leftChars="114" w:firstLine="480" w:firstLineChars="200"/>
        <w:rPr>
          <w:rFonts w:hint="eastAsia" w:ascii="仿宋_GB2312" w:hAnsi="宋体" w:eastAsia="仿宋_GB2312"/>
          <w:bCs/>
          <w:sz w:val="24"/>
        </w:rPr>
      </w:pPr>
      <w:r>
        <w:rPr>
          <w:rFonts w:hint="eastAsia" w:ascii="仿宋_GB2312" w:hAnsi="宋体" w:eastAsia="仿宋_GB2312"/>
          <w:bCs/>
          <w:sz w:val="24"/>
        </w:rPr>
        <w:t>（</w:t>
      </w:r>
      <w:r>
        <w:rPr>
          <w:rFonts w:ascii="仿宋_GB2312" w:hAnsi="宋体" w:eastAsia="仿宋_GB2312"/>
          <w:bCs/>
          <w:sz w:val="24"/>
        </w:rPr>
        <w:t>1）文中小标题为四号、仿宋、加黑；</w:t>
      </w:r>
    </w:p>
    <w:p w14:paraId="26726151">
      <w:pPr>
        <w:spacing w:line="360" w:lineRule="auto"/>
        <w:ind w:left="239" w:leftChars="114" w:firstLine="480" w:firstLineChars="200"/>
        <w:rPr>
          <w:rFonts w:hint="eastAsia" w:ascii="仿宋_GB2312" w:hAnsi="宋体" w:eastAsia="仿宋_GB2312"/>
          <w:bCs/>
          <w:sz w:val="24"/>
        </w:rPr>
      </w:pPr>
      <w:r>
        <w:rPr>
          <w:rFonts w:hint="eastAsia" w:ascii="仿宋_GB2312" w:hAnsi="宋体" w:eastAsia="仿宋_GB2312"/>
          <w:bCs/>
          <w:sz w:val="24"/>
        </w:rPr>
        <w:t>（</w:t>
      </w:r>
      <w:r>
        <w:rPr>
          <w:rFonts w:ascii="仿宋_GB2312" w:hAnsi="宋体" w:eastAsia="仿宋_GB2312"/>
          <w:bCs/>
          <w:sz w:val="24"/>
        </w:rPr>
        <w:t>2）栏内正文为小四号、仿宋。</w:t>
      </w:r>
    </w:p>
    <w:p w14:paraId="0D0C2F54">
      <w:pPr>
        <w:spacing w:line="360" w:lineRule="auto"/>
        <w:ind w:left="239" w:leftChars="114" w:firstLine="480" w:firstLineChars="200"/>
        <w:rPr>
          <w:rFonts w:hint="eastAsia" w:ascii="仿宋_GB2312" w:hAnsi="宋体" w:eastAsia="仿宋_GB2312"/>
          <w:bCs/>
          <w:sz w:val="24"/>
        </w:rPr>
      </w:pPr>
      <w:r>
        <w:rPr>
          <w:rFonts w:hint="eastAsia" w:ascii="仿宋_GB2312" w:hAnsi="宋体" w:eastAsia="仿宋_GB2312"/>
          <w:bCs/>
          <w:sz w:val="24"/>
        </w:rPr>
        <w:t>（3）</w:t>
      </w:r>
      <w:r>
        <w:rPr>
          <w:rFonts w:ascii="仿宋_GB2312" w:hAnsi="宋体" w:eastAsia="仿宋_GB2312"/>
          <w:bCs/>
          <w:sz w:val="24"/>
        </w:rPr>
        <w:t>栏内正文1.5倍行距</w:t>
      </w:r>
      <w:r>
        <w:rPr>
          <w:rFonts w:hint="eastAsia" w:ascii="仿宋_GB2312" w:hAnsi="宋体" w:eastAsia="仿宋_GB2312"/>
          <w:bCs/>
          <w:sz w:val="24"/>
        </w:rPr>
        <w:t>。</w:t>
      </w:r>
    </w:p>
    <w:p w14:paraId="27806742">
      <w:pPr>
        <w:spacing w:line="360" w:lineRule="auto"/>
        <w:rPr>
          <w:rFonts w:hint="eastAsia" w:ascii="仿宋_GB2312" w:hAnsi="宋体" w:eastAsia="仿宋_GB2312"/>
          <w:bCs/>
          <w:sz w:val="24"/>
        </w:rPr>
      </w:pPr>
    </w:p>
    <w:p w14:paraId="04061C3B">
      <w:pPr>
        <w:spacing w:line="480" w:lineRule="auto"/>
        <w:rPr>
          <w:rFonts w:hint="eastAsia" w:ascii="宋体" w:hAnsi="宋体"/>
          <w:sz w:val="28"/>
          <w:szCs w:val="28"/>
        </w:rPr>
      </w:pPr>
    </w:p>
    <w:p w14:paraId="7975C152"/>
    <w:p w14:paraId="35866857"/>
    <w:p w14:paraId="005DADB2"/>
    <w:p w14:paraId="24DD4235"/>
    <w:p w14:paraId="5741BC1A"/>
    <w:p w14:paraId="0FDA194D"/>
    <w:p w14:paraId="3D094902"/>
    <w:p w14:paraId="2842A7BF"/>
    <w:p w14:paraId="202A11F2"/>
    <w:p w14:paraId="08FF364D"/>
    <w:p w14:paraId="41D2E317"/>
    <w:p w14:paraId="525ECF42"/>
    <w:p w14:paraId="1A41F204"/>
    <w:p w14:paraId="6EEE5187"/>
    <w:p w14:paraId="47BA8C39"/>
    <w:p w14:paraId="5AA23B00"/>
    <w:p w14:paraId="1CBE561B"/>
    <w:p w14:paraId="4CF9FAE3"/>
    <w:p w14:paraId="2D1AAF55"/>
    <w:p w14:paraId="73C513B0"/>
    <w:p w14:paraId="6A912F89"/>
    <w:p w14:paraId="5ED98A7C"/>
    <w:tbl>
      <w:tblPr>
        <w:tblStyle w:val="7"/>
        <w:tblW w:w="84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9"/>
        <w:gridCol w:w="1209"/>
        <w:gridCol w:w="1209"/>
        <w:gridCol w:w="1209"/>
        <w:gridCol w:w="1209"/>
        <w:gridCol w:w="1209"/>
        <w:gridCol w:w="1209"/>
      </w:tblGrid>
      <w:tr w14:paraId="2E5D0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trPr>
        <w:tc>
          <w:tcPr>
            <w:tcW w:w="8463" w:type="dxa"/>
            <w:gridSpan w:val="7"/>
            <w:tcBorders>
              <w:top w:val="single" w:color="auto" w:sz="4" w:space="0"/>
              <w:left w:val="single" w:color="auto" w:sz="4" w:space="0"/>
              <w:bottom w:val="single" w:color="auto" w:sz="4" w:space="0"/>
              <w:right w:val="single" w:color="auto" w:sz="4" w:space="0"/>
            </w:tcBorders>
            <w:vAlign w:val="center"/>
          </w:tcPr>
          <w:p w14:paraId="5AA2B094">
            <w:pPr>
              <w:spacing w:before="120" w:after="60" w:line="360" w:lineRule="auto"/>
              <w:rPr>
                <w:rFonts w:ascii="仿宋_GB2312" w:eastAsia="仿宋_GB2312"/>
                <w:b/>
                <w:sz w:val="24"/>
              </w:rPr>
            </w:pPr>
            <w:r>
              <w:rPr>
                <w:rFonts w:hint="eastAsia" w:ascii="仿宋" w:hAnsi="仿宋" w:eastAsia="仿宋"/>
                <w:b/>
                <w:sz w:val="28"/>
              </w:rPr>
              <w:t>一、项目组成员工作情况</w:t>
            </w:r>
          </w:p>
        </w:tc>
      </w:tr>
      <w:tr w14:paraId="24B5B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trPr>
        <w:tc>
          <w:tcPr>
            <w:tcW w:w="2418" w:type="dxa"/>
            <w:gridSpan w:val="2"/>
            <w:vMerge w:val="restart"/>
            <w:tcBorders>
              <w:top w:val="single" w:color="auto" w:sz="4" w:space="0"/>
              <w:left w:val="single" w:color="auto" w:sz="4" w:space="0"/>
              <w:bottom w:val="single" w:color="auto" w:sz="4" w:space="0"/>
              <w:right w:val="single" w:color="auto" w:sz="4" w:space="0"/>
            </w:tcBorders>
            <w:vAlign w:val="center"/>
          </w:tcPr>
          <w:p w14:paraId="4325DDDB">
            <w:pPr>
              <w:spacing w:line="360" w:lineRule="auto"/>
              <w:jc w:val="center"/>
              <w:rPr>
                <w:rFonts w:ascii="仿宋_GB2312" w:eastAsia="仿宋_GB2312"/>
                <w:sz w:val="24"/>
              </w:rPr>
            </w:pPr>
            <w:r>
              <w:rPr>
                <w:rFonts w:hint="eastAsia" w:ascii="仿宋" w:hAnsi="仿宋" w:eastAsia="仿宋"/>
                <w:sz w:val="24"/>
              </w:rPr>
              <w:t>项目组</w:t>
            </w:r>
          </w:p>
          <w:p w14:paraId="1EBCEDCE">
            <w:pPr>
              <w:spacing w:line="360" w:lineRule="auto"/>
              <w:jc w:val="center"/>
              <w:rPr>
                <w:rFonts w:ascii="仿宋_GB2312" w:eastAsia="仿宋_GB2312"/>
                <w:b/>
                <w:sz w:val="24"/>
              </w:rPr>
            </w:pPr>
            <w:r>
              <w:rPr>
                <w:rFonts w:hint="eastAsia" w:ascii="仿宋" w:hAnsi="仿宋" w:eastAsia="仿宋"/>
                <w:sz w:val="24"/>
              </w:rPr>
              <w:t>成员</w:t>
            </w:r>
          </w:p>
        </w:tc>
        <w:tc>
          <w:tcPr>
            <w:tcW w:w="2418" w:type="dxa"/>
            <w:gridSpan w:val="2"/>
            <w:tcBorders>
              <w:top w:val="single" w:color="auto" w:sz="4" w:space="0"/>
              <w:left w:val="single" w:color="auto" w:sz="4" w:space="0"/>
              <w:bottom w:val="single" w:color="auto" w:sz="4" w:space="0"/>
              <w:right w:val="single" w:color="auto" w:sz="4" w:space="0"/>
            </w:tcBorders>
            <w:vAlign w:val="center"/>
          </w:tcPr>
          <w:p w14:paraId="50FBCA1B">
            <w:pPr>
              <w:spacing w:line="360" w:lineRule="auto"/>
              <w:jc w:val="center"/>
              <w:rPr>
                <w:rFonts w:ascii="仿宋_GB2312" w:eastAsia="仿宋_GB2312"/>
                <w:sz w:val="24"/>
              </w:rPr>
            </w:pPr>
            <w:r>
              <w:rPr>
                <w:rFonts w:hint="eastAsia" w:ascii="仿宋" w:hAnsi="仿宋" w:eastAsia="仿宋"/>
                <w:sz w:val="24"/>
              </w:rPr>
              <w:t>姓名</w:t>
            </w:r>
          </w:p>
        </w:tc>
        <w:tc>
          <w:tcPr>
            <w:tcW w:w="1209" w:type="dxa"/>
            <w:tcBorders>
              <w:top w:val="single" w:color="auto" w:sz="4" w:space="0"/>
              <w:left w:val="single" w:color="auto" w:sz="4" w:space="0"/>
              <w:bottom w:val="single" w:color="auto" w:sz="4" w:space="0"/>
              <w:right w:val="single" w:color="auto" w:sz="4" w:space="0"/>
            </w:tcBorders>
            <w:vAlign w:val="center"/>
          </w:tcPr>
          <w:p w14:paraId="66855894">
            <w:pPr>
              <w:spacing w:line="360" w:lineRule="auto"/>
              <w:jc w:val="center"/>
              <w:rPr>
                <w:rFonts w:ascii="仿宋_GB2312" w:eastAsia="仿宋_GB2312"/>
                <w:sz w:val="24"/>
              </w:rPr>
            </w:pPr>
            <w:r>
              <w:rPr>
                <w:rFonts w:hint="eastAsia" w:ascii="仿宋" w:hAnsi="仿宋" w:eastAsia="仿宋"/>
                <w:sz w:val="24"/>
              </w:rPr>
              <w:t>项目中的分工</w:t>
            </w:r>
          </w:p>
        </w:tc>
        <w:tc>
          <w:tcPr>
            <w:tcW w:w="1209" w:type="dxa"/>
            <w:tcBorders>
              <w:top w:val="single" w:color="auto" w:sz="4" w:space="0"/>
              <w:left w:val="single" w:color="auto" w:sz="4" w:space="0"/>
              <w:bottom w:val="single" w:color="auto" w:sz="4" w:space="0"/>
              <w:right w:val="single" w:color="auto" w:sz="4" w:space="0"/>
            </w:tcBorders>
            <w:vAlign w:val="center"/>
          </w:tcPr>
          <w:p w14:paraId="24A41FC0">
            <w:pPr>
              <w:spacing w:line="360" w:lineRule="auto"/>
              <w:jc w:val="center"/>
              <w:rPr>
                <w:rFonts w:ascii="仿宋_GB2312" w:eastAsia="仿宋_GB2312"/>
                <w:sz w:val="24"/>
              </w:rPr>
            </w:pPr>
            <w:r>
              <w:rPr>
                <w:rFonts w:hint="eastAsia" w:ascii="仿宋" w:hAnsi="仿宋" w:eastAsia="仿宋"/>
                <w:sz w:val="24"/>
              </w:rPr>
              <w:t>完成情况</w:t>
            </w:r>
          </w:p>
        </w:tc>
        <w:tc>
          <w:tcPr>
            <w:tcW w:w="1209" w:type="dxa"/>
            <w:tcBorders>
              <w:top w:val="single" w:color="auto" w:sz="4" w:space="0"/>
              <w:left w:val="single" w:color="auto" w:sz="4" w:space="0"/>
              <w:bottom w:val="single" w:color="auto" w:sz="4" w:space="0"/>
              <w:right w:val="single" w:color="auto" w:sz="4" w:space="0"/>
            </w:tcBorders>
            <w:vAlign w:val="center"/>
          </w:tcPr>
          <w:p w14:paraId="4762D780">
            <w:pPr>
              <w:spacing w:line="360" w:lineRule="auto"/>
              <w:jc w:val="center"/>
              <w:rPr>
                <w:rFonts w:ascii="仿宋_GB2312" w:eastAsia="仿宋_GB2312"/>
                <w:sz w:val="24"/>
              </w:rPr>
            </w:pPr>
            <w:r>
              <w:rPr>
                <w:rFonts w:hint="eastAsia" w:ascii="仿宋" w:hAnsi="仿宋" w:eastAsia="仿宋"/>
                <w:sz w:val="24"/>
              </w:rPr>
              <w:t>指导教师</w:t>
            </w:r>
          </w:p>
          <w:p w14:paraId="35F21FAB">
            <w:pPr>
              <w:spacing w:line="360" w:lineRule="auto"/>
              <w:jc w:val="center"/>
              <w:rPr>
                <w:rFonts w:ascii="仿宋_GB2312" w:eastAsia="仿宋_GB2312"/>
                <w:sz w:val="24"/>
              </w:rPr>
            </w:pPr>
            <w:r>
              <w:rPr>
                <w:rFonts w:hint="eastAsia" w:ascii="仿宋" w:hAnsi="仿宋" w:eastAsia="仿宋"/>
                <w:sz w:val="24"/>
              </w:rPr>
              <w:t>评价</w:t>
            </w:r>
          </w:p>
        </w:tc>
      </w:tr>
      <w:tr w14:paraId="3C34D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2418" w:type="dxa"/>
            <w:gridSpan w:val="2"/>
            <w:vMerge w:val="continue"/>
            <w:vAlign w:val="center"/>
          </w:tcPr>
          <w:p w14:paraId="6A78428A">
            <w:pPr>
              <w:widowControl/>
              <w:jc w:val="left"/>
              <w:rPr>
                <w:rFonts w:ascii="仿宋_GB2312" w:eastAsia="仿宋_GB2312"/>
                <w:b/>
                <w:sz w:val="24"/>
              </w:rPr>
            </w:pPr>
          </w:p>
        </w:tc>
        <w:tc>
          <w:tcPr>
            <w:tcW w:w="2418" w:type="dxa"/>
            <w:gridSpan w:val="2"/>
            <w:tcBorders>
              <w:top w:val="single" w:color="auto" w:sz="4" w:space="0"/>
              <w:left w:val="single" w:color="auto" w:sz="4" w:space="0"/>
              <w:bottom w:val="single" w:color="auto" w:sz="4" w:space="0"/>
              <w:right w:val="single" w:color="auto" w:sz="4" w:space="0"/>
            </w:tcBorders>
            <w:vAlign w:val="center"/>
          </w:tcPr>
          <w:p w14:paraId="229D8A5E">
            <w:pPr>
              <w:spacing w:line="360" w:lineRule="auto"/>
              <w:jc w:val="center"/>
              <w:rPr>
                <w:rFonts w:ascii="仿宋_GB2312" w:eastAsia="仿宋_GB2312"/>
                <w:b/>
                <w:sz w:val="24"/>
              </w:rPr>
            </w:pPr>
            <w:r>
              <w:rPr>
                <w:rFonts w:hint="eastAsia" w:ascii="仿宋" w:hAnsi="仿宋" w:eastAsia="仿宋"/>
                <w:sz w:val="24"/>
              </w:rPr>
              <w:t>邓小军</w:t>
            </w:r>
          </w:p>
        </w:tc>
        <w:tc>
          <w:tcPr>
            <w:tcW w:w="1209" w:type="dxa"/>
            <w:tcBorders>
              <w:top w:val="single" w:color="auto" w:sz="4" w:space="0"/>
              <w:left w:val="single" w:color="auto" w:sz="4" w:space="0"/>
              <w:bottom w:val="single" w:color="auto" w:sz="4" w:space="0"/>
              <w:right w:val="single" w:color="auto" w:sz="4" w:space="0"/>
            </w:tcBorders>
            <w:vAlign w:val="center"/>
          </w:tcPr>
          <w:p w14:paraId="10D1F0A6">
            <w:pPr>
              <w:spacing w:line="360" w:lineRule="auto"/>
              <w:rPr>
                <w:rFonts w:ascii="仿宋_GB2312" w:eastAsia="仿宋_GB2312"/>
                <w:b/>
                <w:sz w:val="24"/>
              </w:rPr>
            </w:pPr>
            <w:r>
              <w:rPr>
                <w:rFonts w:hint="eastAsia" w:ascii="仿宋" w:hAnsi="仿宋" w:eastAsia="仿宋"/>
                <w:sz w:val="24"/>
              </w:rPr>
              <w:t>电路设计及仿真</w:t>
            </w:r>
          </w:p>
        </w:tc>
        <w:tc>
          <w:tcPr>
            <w:tcW w:w="1209" w:type="dxa"/>
            <w:tcBorders>
              <w:top w:val="single" w:color="auto" w:sz="4" w:space="0"/>
              <w:left w:val="single" w:color="auto" w:sz="4" w:space="0"/>
              <w:bottom w:val="single" w:color="auto" w:sz="4" w:space="0"/>
              <w:right w:val="single" w:color="auto" w:sz="4" w:space="0"/>
            </w:tcBorders>
            <w:vAlign w:val="center"/>
          </w:tcPr>
          <w:p w14:paraId="6109C221">
            <w:pPr>
              <w:spacing w:line="360" w:lineRule="auto"/>
              <w:rPr>
                <w:rFonts w:ascii="仿宋_GB2312" w:eastAsia="仿宋_GB2312"/>
                <w:bCs/>
                <w:sz w:val="24"/>
              </w:rPr>
            </w:pPr>
            <w:r>
              <w:rPr>
                <w:rFonts w:hint="eastAsia" w:ascii="仿宋" w:hAnsi="仿宋" w:eastAsia="仿宋"/>
                <w:sz w:val="24"/>
              </w:rPr>
              <w:t>完成</w:t>
            </w:r>
          </w:p>
        </w:tc>
        <w:tc>
          <w:tcPr>
            <w:tcW w:w="1209" w:type="dxa"/>
            <w:tcBorders>
              <w:top w:val="single" w:color="auto" w:sz="4" w:space="0"/>
              <w:left w:val="single" w:color="auto" w:sz="4" w:space="0"/>
              <w:bottom w:val="single" w:color="auto" w:sz="4" w:space="0"/>
              <w:right w:val="single" w:color="auto" w:sz="4" w:space="0"/>
            </w:tcBorders>
            <w:vAlign w:val="center"/>
          </w:tcPr>
          <w:p w14:paraId="4E69642C">
            <w:pPr>
              <w:spacing w:line="360" w:lineRule="auto"/>
              <w:rPr>
                <w:rFonts w:ascii="仿宋_GB2312" w:eastAsia="仿宋_GB2312"/>
                <w:b/>
                <w:sz w:val="24"/>
              </w:rPr>
            </w:pPr>
          </w:p>
        </w:tc>
      </w:tr>
      <w:tr w14:paraId="62EBF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trPr>
        <w:tc>
          <w:tcPr>
            <w:tcW w:w="2418" w:type="dxa"/>
            <w:gridSpan w:val="2"/>
            <w:vMerge w:val="continue"/>
            <w:vAlign w:val="center"/>
          </w:tcPr>
          <w:p w14:paraId="519B6A0B">
            <w:pPr>
              <w:widowControl/>
              <w:jc w:val="left"/>
              <w:rPr>
                <w:rFonts w:ascii="仿宋_GB2312" w:eastAsia="仿宋_GB2312"/>
                <w:b/>
                <w:sz w:val="24"/>
              </w:rPr>
            </w:pPr>
          </w:p>
        </w:tc>
        <w:tc>
          <w:tcPr>
            <w:tcW w:w="2418" w:type="dxa"/>
            <w:gridSpan w:val="2"/>
            <w:tcBorders>
              <w:top w:val="single" w:color="auto" w:sz="4" w:space="0"/>
              <w:left w:val="single" w:color="auto" w:sz="4" w:space="0"/>
              <w:bottom w:val="single" w:color="auto" w:sz="4" w:space="0"/>
              <w:right w:val="single" w:color="auto" w:sz="4" w:space="0"/>
            </w:tcBorders>
            <w:vAlign w:val="center"/>
          </w:tcPr>
          <w:p w14:paraId="52401ADC">
            <w:pPr>
              <w:spacing w:line="360" w:lineRule="auto"/>
              <w:jc w:val="center"/>
              <w:rPr>
                <w:rFonts w:ascii="仿宋_GB2312" w:eastAsia="仿宋_GB2312"/>
                <w:b/>
                <w:sz w:val="24"/>
              </w:rPr>
            </w:pPr>
            <w:r>
              <w:rPr>
                <w:rFonts w:hint="eastAsia" w:ascii="仿宋" w:hAnsi="仿宋" w:eastAsia="仿宋"/>
                <w:sz w:val="24"/>
              </w:rPr>
              <w:t>严禹</w:t>
            </w:r>
          </w:p>
        </w:tc>
        <w:tc>
          <w:tcPr>
            <w:tcW w:w="1209" w:type="dxa"/>
            <w:tcBorders>
              <w:top w:val="single" w:color="auto" w:sz="4" w:space="0"/>
              <w:left w:val="single" w:color="auto" w:sz="4" w:space="0"/>
              <w:bottom w:val="single" w:color="auto" w:sz="4" w:space="0"/>
              <w:right w:val="single" w:color="auto" w:sz="4" w:space="0"/>
            </w:tcBorders>
            <w:vAlign w:val="center"/>
          </w:tcPr>
          <w:p w14:paraId="00535539">
            <w:pPr>
              <w:spacing w:line="360" w:lineRule="auto"/>
              <w:rPr>
                <w:rFonts w:ascii="仿宋_GB2312" w:eastAsia="仿宋_GB2312"/>
                <w:b/>
                <w:sz w:val="24"/>
              </w:rPr>
            </w:pPr>
            <w:r>
              <w:rPr>
                <w:rFonts w:hint="eastAsia" w:ascii="仿宋" w:hAnsi="仿宋" w:eastAsia="仿宋"/>
                <w:sz w:val="24"/>
              </w:rPr>
              <w:t>磁场仿真线圈绕制</w:t>
            </w:r>
          </w:p>
        </w:tc>
        <w:tc>
          <w:tcPr>
            <w:tcW w:w="1209" w:type="dxa"/>
            <w:tcBorders>
              <w:top w:val="single" w:color="auto" w:sz="4" w:space="0"/>
              <w:left w:val="single" w:color="auto" w:sz="4" w:space="0"/>
              <w:bottom w:val="single" w:color="auto" w:sz="4" w:space="0"/>
              <w:right w:val="single" w:color="auto" w:sz="4" w:space="0"/>
            </w:tcBorders>
            <w:vAlign w:val="center"/>
          </w:tcPr>
          <w:p w14:paraId="17F92362">
            <w:pPr>
              <w:spacing w:line="360" w:lineRule="auto"/>
              <w:rPr>
                <w:rFonts w:ascii="仿宋_GB2312" w:eastAsia="仿宋_GB2312"/>
                <w:b/>
                <w:sz w:val="24"/>
              </w:rPr>
            </w:pPr>
            <w:r>
              <w:rPr>
                <w:rFonts w:hint="eastAsia" w:ascii="仿宋" w:hAnsi="仿宋" w:eastAsia="仿宋"/>
                <w:sz w:val="24"/>
              </w:rPr>
              <w:t>完成</w:t>
            </w:r>
          </w:p>
        </w:tc>
        <w:tc>
          <w:tcPr>
            <w:tcW w:w="1209" w:type="dxa"/>
            <w:tcBorders>
              <w:top w:val="single" w:color="auto" w:sz="4" w:space="0"/>
              <w:left w:val="single" w:color="auto" w:sz="4" w:space="0"/>
              <w:bottom w:val="single" w:color="auto" w:sz="4" w:space="0"/>
              <w:right w:val="single" w:color="auto" w:sz="4" w:space="0"/>
            </w:tcBorders>
            <w:vAlign w:val="center"/>
          </w:tcPr>
          <w:p w14:paraId="4BCF1881">
            <w:pPr>
              <w:spacing w:line="360" w:lineRule="auto"/>
              <w:rPr>
                <w:rFonts w:ascii="仿宋_GB2312" w:eastAsia="仿宋_GB2312"/>
                <w:b/>
                <w:sz w:val="24"/>
              </w:rPr>
            </w:pPr>
          </w:p>
        </w:tc>
      </w:tr>
      <w:tr w14:paraId="139A8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trPr>
        <w:tc>
          <w:tcPr>
            <w:tcW w:w="2418" w:type="dxa"/>
            <w:gridSpan w:val="2"/>
            <w:vMerge w:val="continue"/>
            <w:vAlign w:val="center"/>
          </w:tcPr>
          <w:p w14:paraId="10FD4A19">
            <w:pPr>
              <w:widowControl/>
              <w:jc w:val="left"/>
              <w:rPr>
                <w:rFonts w:ascii="仿宋_GB2312" w:eastAsia="仿宋_GB2312"/>
                <w:b/>
                <w:sz w:val="24"/>
              </w:rPr>
            </w:pPr>
          </w:p>
        </w:tc>
        <w:tc>
          <w:tcPr>
            <w:tcW w:w="2418" w:type="dxa"/>
            <w:gridSpan w:val="2"/>
            <w:tcBorders>
              <w:top w:val="single" w:color="auto" w:sz="4" w:space="0"/>
              <w:left w:val="single" w:color="auto" w:sz="4" w:space="0"/>
              <w:bottom w:val="single" w:color="auto" w:sz="4" w:space="0"/>
              <w:right w:val="single" w:color="auto" w:sz="4" w:space="0"/>
            </w:tcBorders>
            <w:vAlign w:val="center"/>
          </w:tcPr>
          <w:p w14:paraId="6010523C">
            <w:pPr>
              <w:spacing w:line="360" w:lineRule="auto"/>
              <w:jc w:val="center"/>
              <w:rPr>
                <w:rFonts w:ascii="仿宋_GB2312" w:eastAsia="仿宋_GB2312"/>
                <w:b/>
                <w:sz w:val="24"/>
              </w:rPr>
            </w:pPr>
            <w:r>
              <w:rPr>
                <w:rFonts w:hint="eastAsia" w:ascii="仿宋" w:hAnsi="仿宋" w:eastAsia="仿宋"/>
                <w:sz w:val="24"/>
              </w:rPr>
              <w:t>王义辰</w:t>
            </w:r>
          </w:p>
        </w:tc>
        <w:tc>
          <w:tcPr>
            <w:tcW w:w="1209" w:type="dxa"/>
            <w:tcBorders>
              <w:top w:val="single" w:color="auto" w:sz="4" w:space="0"/>
              <w:left w:val="single" w:color="auto" w:sz="4" w:space="0"/>
              <w:bottom w:val="single" w:color="auto" w:sz="4" w:space="0"/>
              <w:right w:val="single" w:color="auto" w:sz="4" w:space="0"/>
            </w:tcBorders>
            <w:vAlign w:val="center"/>
          </w:tcPr>
          <w:p w14:paraId="6D2FA7A1">
            <w:pPr>
              <w:spacing w:line="360" w:lineRule="auto"/>
              <w:rPr>
                <w:rFonts w:ascii="仿宋_GB2312" w:eastAsia="仿宋_GB2312"/>
                <w:b/>
                <w:sz w:val="24"/>
              </w:rPr>
            </w:pPr>
            <w:r>
              <w:rPr>
                <w:rFonts w:hint="eastAsia" w:ascii="仿宋" w:hAnsi="仿宋" w:eastAsia="仿宋"/>
                <w:sz w:val="24"/>
              </w:rPr>
              <w:t>PCB设计及实物调试</w:t>
            </w:r>
          </w:p>
        </w:tc>
        <w:tc>
          <w:tcPr>
            <w:tcW w:w="1209" w:type="dxa"/>
            <w:tcBorders>
              <w:top w:val="single" w:color="auto" w:sz="4" w:space="0"/>
              <w:left w:val="single" w:color="auto" w:sz="4" w:space="0"/>
              <w:bottom w:val="single" w:color="auto" w:sz="4" w:space="0"/>
              <w:right w:val="single" w:color="auto" w:sz="4" w:space="0"/>
            </w:tcBorders>
            <w:vAlign w:val="center"/>
          </w:tcPr>
          <w:p w14:paraId="583EB18A">
            <w:pPr>
              <w:spacing w:line="360" w:lineRule="auto"/>
              <w:rPr>
                <w:rFonts w:ascii="仿宋_GB2312" w:eastAsia="仿宋_GB2312"/>
                <w:b/>
                <w:sz w:val="24"/>
              </w:rPr>
            </w:pPr>
            <w:r>
              <w:rPr>
                <w:rFonts w:hint="eastAsia" w:ascii="仿宋" w:hAnsi="仿宋" w:eastAsia="仿宋"/>
                <w:sz w:val="24"/>
              </w:rPr>
              <w:t>完成</w:t>
            </w:r>
          </w:p>
        </w:tc>
        <w:tc>
          <w:tcPr>
            <w:tcW w:w="1209" w:type="dxa"/>
            <w:tcBorders>
              <w:top w:val="single" w:color="auto" w:sz="4" w:space="0"/>
              <w:left w:val="single" w:color="auto" w:sz="4" w:space="0"/>
              <w:bottom w:val="single" w:color="auto" w:sz="4" w:space="0"/>
              <w:right w:val="single" w:color="auto" w:sz="4" w:space="0"/>
            </w:tcBorders>
            <w:vAlign w:val="center"/>
          </w:tcPr>
          <w:p w14:paraId="782DE441">
            <w:pPr>
              <w:spacing w:line="360" w:lineRule="auto"/>
              <w:rPr>
                <w:rFonts w:ascii="仿宋_GB2312" w:eastAsia="仿宋_GB2312"/>
                <w:b/>
                <w:sz w:val="24"/>
              </w:rPr>
            </w:pPr>
          </w:p>
        </w:tc>
      </w:tr>
      <w:tr w14:paraId="1935C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atLeast"/>
        </w:trPr>
        <w:tc>
          <w:tcPr>
            <w:tcW w:w="2418" w:type="dxa"/>
            <w:gridSpan w:val="2"/>
            <w:vMerge w:val="continue"/>
            <w:vAlign w:val="center"/>
          </w:tcPr>
          <w:p w14:paraId="2AEFFB39">
            <w:pPr>
              <w:widowControl/>
              <w:jc w:val="left"/>
              <w:rPr>
                <w:rFonts w:ascii="仿宋_GB2312" w:eastAsia="仿宋_GB2312"/>
                <w:b/>
                <w:sz w:val="24"/>
              </w:rPr>
            </w:pPr>
          </w:p>
        </w:tc>
        <w:tc>
          <w:tcPr>
            <w:tcW w:w="2418" w:type="dxa"/>
            <w:gridSpan w:val="2"/>
            <w:tcBorders>
              <w:top w:val="single" w:color="auto" w:sz="4" w:space="0"/>
              <w:left w:val="single" w:color="auto" w:sz="4" w:space="0"/>
              <w:bottom w:val="single" w:color="auto" w:sz="4" w:space="0"/>
              <w:right w:val="single" w:color="auto" w:sz="4" w:space="0"/>
            </w:tcBorders>
            <w:vAlign w:val="center"/>
          </w:tcPr>
          <w:p w14:paraId="53859591">
            <w:pPr>
              <w:spacing w:line="360" w:lineRule="auto"/>
              <w:jc w:val="center"/>
              <w:rPr>
                <w:rFonts w:ascii="仿宋_GB2312" w:eastAsia="仿宋_GB2312"/>
                <w:b/>
                <w:sz w:val="24"/>
              </w:rPr>
            </w:pPr>
          </w:p>
        </w:tc>
        <w:tc>
          <w:tcPr>
            <w:tcW w:w="1209" w:type="dxa"/>
            <w:tcBorders>
              <w:top w:val="single" w:color="auto" w:sz="4" w:space="0"/>
              <w:left w:val="single" w:color="auto" w:sz="4" w:space="0"/>
              <w:bottom w:val="single" w:color="auto" w:sz="4" w:space="0"/>
              <w:right w:val="single" w:color="auto" w:sz="4" w:space="0"/>
            </w:tcBorders>
            <w:vAlign w:val="center"/>
          </w:tcPr>
          <w:p w14:paraId="46C7D00A">
            <w:pPr>
              <w:spacing w:line="360" w:lineRule="auto"/>
              <w:rPr>
                <w:rFonts w:ascii="仿宋_GB2312" w:eastAsia="仿宋_GB2312"/>
                <w:b/>
                <w:sz w:val="24"/>
              </w:rPr>
            </w:pPr>
          </w:p>
        </w:tc>
        <w:tc>
          <w:tcPr>
            <w:tcW w:w="1209" w:type="dxa"/>
            <w:tcBorders>
              <w:top w:val="single" w:color="auto" w:sz="4" w:space="0"/>
              <w:left w:val="single" w:color="auto" w:sz="4" w:space="0"/>
              <w:bottom w:val="single" w:color="auto" w:sz="4" w:space="0"/>
              <w:right w:val="single" w:color="auto" w:sz="4" w:space="0"/>
            </w:tcBorders>
            <w:vAlign w:val="center"/>
          </w:tcPr>
          <w:p w14:paraId="7A84ECD7">
            <w:pPr>
              <w:spacing w:line="360" w:lineRule="auto"/>
              <w:rPr>
                <w:rFonts w:ascii="仿宋_GB2312" w:eastAsia="仿宋_GB2312"/>
                <w:b/>
                <w:sz w:val="24"/>
              </w:rPr>
            </w:pPr>
          </w:p>
        </w:tc>
        <w:tc>
          <w:tcPr>
            <w:tcW w:w="1209" w:type="dxa"/>
            <w:tcBorders>
              <w:top w:val="single" w:color="auto" w:sz="4" w:space="0"/>
              <w:left w:val="single" w:color="auto" w:sz="4" w:space="0"/>
              <w:bottom w:val="single" w:color="auto" w:sz="4" w:space="0"/>
              <w:right w:val="single" w:color="auto" w:sz="4" w:space="0"/>
            </w:tcBorders>
            <w:vAlign w:val="center"/>
          </w:tcPr>
          <w:p w14:paraId="587EF2CF">
            <w:pPr>
              <w:spacing w:line="360" w:lineRule="auto"/>
              <w:rPr>
                <w:rFonts w:ascii="仿宋_GB2312" w:eastAsia="仿宋_GB2312"/>
                <w:b/>
                <w:sz w:val="24"/>
              </w:rPr>
            </w:pPr>
          </w:p>
        </w:tc>
      </w:tr>
      <w:tr w14:paraId="7CF2D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trPr>
        <w:tc>
          <w:tcPr>
            <w:tcW w:w="8463" w:type="dxa"/>
            <w:gridSpan w:val="7"/>
            <w:tcBorders>
              <w:top w:val="single" w:color="auto" w:sz="4" w:space="0"/>
              <w:left w:val="single" w:color="auto" w:sz="4" w:space="0"/>
              <w:bottom w:val="single" w:color="auto" w:sz="4" w:space="0"/>
              <w:right w:val="single" w:color="auto" w:sz="4" w:space="0"/>
            </w:tcBorders>
            <w:vAlign w:val="center"/>
          </w:tcPr>
          <w:p w14:paraId="40544BF5">
            <w:pPr>
              <w:spacing w:before="120" w:after="60" w:line="360" w:lineRule="auto"/>
              <w:rPr>
                <w:rFonts w:ascii="仿宋_GB2312" w:eastAsia="仿宋_GB2312"/>
                <w:b/>
                <w:sz w:val="24"/>
              </w:rPr>
            </w:pPr>
            <w:r>
              <w:rPr>
                <w:rFonts w:hint="eastAsia" w:ascii="仿宋" w:hAnsi="仿宋" w:eastAsia="仿宋"/>
                <w:b/>
                <w:sz w:val="28"/>
              </w:rPr>
              <w:t>二、项目研究进展情况说明</w:t>
            </w:r>
          </w:p>
        </w:tc>
      </w:tr>
      <w:tr w14:paraId="7E388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1" w:hRule="atLeast"/>
        </w:trPr>
        <w:tc>
          <w:tcPr>
            <w:tcW w:w="8463" w:type="dxa"/>
            <w:gridSpan w:val="7"/>
            <w:tcBorders>
              <w:top w:val="single" w:color="auto" w:sz="4" w:space="0"/>
              <w:left w:val="single" w:color="auto" w:sz="4" w:space="0"/>
              <w:bottom w:val="single" w:color="auto" w:sz="4" w:space="0"/>
              <w:right w:val="single" w:color="auto" w:sz="4" w:space="0"/>
            </w:tcBorders>
          </w:tcPr>
          <w:p w14:paraId="4E66CDC1">
            <w:pPr>
              <w:spacing w:line="360" w:lineRule="auto"/>
              <w:rPr>
                <w:rFonts w:ascii="仿宋_GB2312" w:eastAsia="仿宋_GB2312"/>
                <w:sz w:val="24"/>
              </w:rPr>
            </w:pPr>
            <w:r>
              <w:rPr>
                <w:rFonts w:ascii="仿宋" w:hAnsi="仿宋" w:eastAsia="仿宋"/>
                <w:sz w:val="24"/>
              </w:rPr>
              <w:t>本项目围绕"四足机器人非结构化泊接条件下，磁耦合谐振式无线电能传输因大范围偏移引起电流波动、效率下降"的关键痛点，按照"理论学习—仿真建模—硬件样机—测试迭代—升级优化"的技术路线，已完成两版样机的迭代研发。目前第一版已完成完整的原理验证，第二版已进入实物测试与优化阶段。</w:t>
            </w:r>
          </w:p>
          <w:p w14:paraId="58F04A0A">
            <w:pPr>
              <w:spacing w:before="120" w:after="60" w:line="360" w:lineRule="auto"/>
            </w:pPr>
            <w:r>
              <w:rPr>
                <w:rFonts w:ascii="仿宋" w:hAnsi="仿宋" w:eastAsia="仿宋"/>
                <w:b/>
                <w:sz w:val="28"/>
              </w:rPr>
              <w:t>一、前期理论学习与方案调研</w:t>
            </w:r>
          </w:p>
          <w:p w14:paraId="1555552D">
            <w:pPr>
              <w:spacing w:line="360" w:lineRule="auto"/>
            </w:pPr>
            <w:r>
              <w:rPr>
                <w:rFonts w:ascii="仿宋" w:hAnsi="仿宋" w:eastAsia="仿宋"/>
                <w:sz w:val="24"/>
              </w:rPr>
              <w:t>项目组在立项后开展了系统性的理论学习和文献调研工作，为后续硬件研发奠定了坚实基础：</w:t>
            </w:r>
          </w:p>
          <w:p w14:paraId="05B15646">
            <w:pPr>
              <w:spacing w:line="360" w:lineRule="auto"/>
            </w:pPr>
            <w:r>
              <w:rPr>
                <w:rFonts w:ascii="仿宋" w:hAnsi="仿宋" w:eastAsia="仿宋"/>
                <w:sz w:val="24"/>
              </w:rPr>
              <w:t>（1）无线充电基本原理学习：系统学习了磁耦合谐振式无线电能传输（WPT）的基本工作原理，包括电磁感应定律、耦合模理论、谐振电路的频率特性与阻抗匹配原理等。</w:t>
            </w:r>
          </w:p>
          <w:p w14:paraId="7F47745F">
            <w:pPr>
              <w:spacing w:line="360" w:lineRule="auto"/>
            </w:pPr>
            <w:r>
              <w:rPr>
                <w:rFonts w:ascii="仿宋" w:hAnsi="仿宋" w:eastAsia="仿宋"/>
                <w:sz w:val="24"/>
              </w:rPr>
              <w:t>（2）LCC-LCC拓扑研究：重点深入研究了LCC-LCC双谐振补偿网络的工作机理，分析了该拓扑的恒流输出特性、抗负载变化能力以及在弱磁耦合工况下的零电压开关（ZVS）条件。通过查阅国内外相关学术论文，掌握了LCC-LCC谐振网络参数的设计方法与优化策略。</w:t>
            </w:r>
          </w:p>
          <w:p w14:paraId="73486282">
            <w:pPr>
              <w:spacing w:line="360" w:lineRule="auto"/>
            </w:pPr>
            <w:r>
              <w:rPr>
                <w:rFonts w:ascii="仿宋" w:hAnsi="仿宋" w:eastAsia="仿宋"/>
                <w:sz w:val="24"/>
              </w:rPr>
              <w:t>（3）无板间通讯异物检测（FOD）方法研究：针对传统异物检测需要发射端与接收端之间建立通信链路的局限性，重点调研了基于品质因数（Q值）检测的无需板间通讯的异物检测方案。该方案的核心原理为：在系统上电前对发射线圈施加短时激励信号，随后切断激励，通过检测线圈谐振电流的自由衰减速率来提取回路品质因数Q值；当金属异物位于磁场中时，涡流效应将导致Q值显著下降，从而实现异物检测。该方法无需接收端配合，简化了系统架构，提升了安全性。</w:t>
            </w:r>
          </w:p>
          <w:p w14:paraId="3AF81B20">
            <w:pPr>
              <w:spacing w:line="360" w:lineRule="auto"/>
            </w:pPr>
            <w:r>
              <w:rPr>
                <w:rFonts w:ascii="仿宋" w:hAnsi="仿宋" w:eastAsia="仿宋"/>
                <w:sz w:val="24"/>
              </w:rPr>
              <w:t>（4）DD-DDQ型线圈原理学习：学习了DD型及DDQ型极化线圈的磁场分布特性与抗偏移机理，掌握了DD线圈产生单方向平行磁场、DDQ线圈实现空间合成磁场的基本原理，为线圈优化设计提供了理论指导。</w:t>
            </w:r>
          </w:p>
          <w:p w14:paraId="5B3564E1">
            <w:pPr>
              <w:spacing w:before="120" w:after="60" w:line="360" w:lineRule="auto"/>
            </w:pPr>
            <w:r>
              <w:rPr>
                <w:rFonts w:ascii="仿宋" w:hAnsi="仿宋" w:eastAsia="仿宋"/>
                <w:b/>
                <w:sz w:val="28"/>
              </w:rPr>
              <w:t>二、第一版样机设计与制作</w:t>
            </w:r>
          </w:p>
          <w:p w14:paraId="2A6BE5CE">
            <w:pPr>
              <w:spacing w:line="360" w:lineRule="auto"/>
            </w:pPr>
            <w:r>
              <w:rPr>
                <w:rFonts w:ascii="仿宋" w:hAnsi="仿宋" w:eastAsia="仿宋"/>
                <w:sz w:val="24"/>
              </w:rPr>
              <w:t>在完成理论学习后，项目组按照"电路设计—系统仿真—PCB设计—焊接调试"的完整设计流程，开展了第一版样机的研制工作：</w:t>
            </w:r>
          </w:p>
          <w:p w14:paraId="085BD00E">
            <w:pPr>
              <w:spacing w:line="360" w:lineRule="auto"/>
            </w:pPr>
            <w:r>
              <w:rPr>
                <w:rFonts w:ascii="仿宋" w:hAnsi="仿宋" w:eastAsia="仿宋"/>
                <w:sz w:val="24"/>
              </w:rPr>
              <w:t>（1）主控选型与电路设计：第一版选用STM32F103C8T6作为主控MCU。设计了包含母线电流检测电路（基于INA282电流检测放大器与采样电阻）、两个半桥逆变电路（基于EG2104S栅极驱动器与MOSFET）、LCC-LCC谐振补偿网络、以及输出整流回路的完整无线充电系统原理图。</w:t>
            </w:r>
          </w:p>
          <w:p w14:paraId="45494FC0">
            <w:pPr>
              <w:spacing w:line="360" w:lineRule="auto"/>
            </w:pPr>
            <w:r>
              <w:rPr>
                <w:rFonts w:ascii="仿宋" w:hAnsi="仿宋" w:eastAsia="仿宋"/>
                <w:sz w:val="24"/>
              </w:rPr>
              <w:t>（2）Simulink电路仿真：在MATLAB/Simulink平台上搭建了完整的LCC-LCC无线充电系统电路仿真模型，包含直流电源、全桥逆变器、LCC谐振网络、磁耦合线圈模型及负载。通过仿真验证了电路参数设计的正确性，分析了不同移相角、不同负载条件下的系统输出特性。</w:t>
            </w:r>
          </w:p>
          <w:p w14:paraId="2885481A">
            <w:pPr>
              <w:spacing w:line="360" w:lineRule="auto"/>
            </w:pPr>
            <w:r>
              <w:rPr>
                <w:rFonts w:ascii="仿宋" w:hAnsi="仿宋" w:eastAsia="仿宋"/>
                <w:sz w:val="24"/>
              </w:rPr>
              <w:t>（3）Ansys磁场仿真：基于Ansys Maxwell搭建了发射-接收线圈的三维电磁场仿真模型，对不同线圈间距、不同横向偏移、不同磁芯配置下的磁场分布与耦合系数进行了仿真分析，为线圈结构与磁屏蔽方案的设计提供了数据支撑。</w:t>
            </w:r>
          </w:p>
          <w:p w14:paraId="1C2BCEA3">
            <w:pPr>
              <w:spacing w:line="360" w:lineRule="auto"/>
            </w:pPr>
            <w:r>
              <w:rPr>
                <w:rFonts w:ascii="仿宋" w:hAnsi="仿宋" w:eastAsia="仿宋"/>
                <w:sz w:val="24"/>
              </w:rPr>
              <w:t>（4）PCB设计与加工：使用嘉立创EDA（LCEDA）完成了完整的电路原理图绘制与PCB布局设计。PCB采用双层板设计，包含功率回路与控制回路两部分。</w:t>
            </w:r>
          </w:p>
          <w:p w14:paraId="57A2F7BD">
            <w:pPr>
              <w:spacing w:line="360" w:lineRule="auto"/>
            </w:pPr>
            <w:r>
              <w:rPr>
                <w:rFonts w:ascii="仿宋" w:hAnsi="仿宋" w:eastAsia="仿宋"/>
                <w:sz w:val="24"/>
              </w:rPr>
              <w:t>（5）嵌入式软件开发：编写了基于HAL库的电流检测代码（ADC采样与母线电流实时监控）、全桥逆变控制代码（基于TIM定时器生成移相PWM信号），以及硬件过流保护代码，实现了系统的闭环控制与安全保护功能。</w:t>
            </w:r>
          </w:p>
          <w:p w14:paraId="2206F42A">
            <w:pPr>
              <w:spacing w:line="360" w:lineRule="auto"/>
            </w:pPr>
            <w:r>
              <w:rPr>
                <w:rFonts w:ascii="仿宋" w:hAnsi="仿宋" w:eastAsia="仿宋"/>
                <w:sz w:val="24"/>
              </w:rPr>
              <w:t>（6）硬件焊接与系统联调：完成了全部元器件的焊接与组装，对发射端与接收端进行了联合调试。在感值匹配条件下，系统实现母线60W功率输入，输出端稳定获得约30W功率，系统整体效率约50%。测试结果验证了LCC-LCC拓扑的无线能量传输可行性，但也暴露出效率偏低、稳定性不足等问题。</w:t>
            </w:r>
          </w:p>
          <w:p w14:paraId="7FD1B550">
            <w:pPr>
              <w:spacing w:before="120" w:after="60" w:line="360" w:lineRule="auto"/>
            </w:pPr>
            <w:r>
              <w:rPr>
                <w:rFonts w:ascii="仿宋" w:hAnsi="仿宋" w:eastAsia="仿宋"/>
                <w:b/>
                <w:sz w:val="28"/>
              </w:rPr>
              <w:t>三、第一版问题分析与改进方向</w:t>
            </w:r>
          </w:p>
          <w:p w14:paraId="2B25B7E6">
            <w:pPr>
              <w:spacing w:line="360" w:lineRule="auto"/>
            </w:pPr>
            <w:r>
              <w:rPr>
                <w:rFonts w:ascii="仿宋" w:hAnsi="仿宋" w:eastAsia="仿宋"/>
                <w:sz w:val="24"/>
              </w:rPr>
              <w:t>针对第一版样机暴露的问题，项目组进行了系统的复盘分析与测试排查，将主要原因归纳如下：</w:t>
            </w:r>
          </w:p>
          <w:p w14:paraId="610CB384">
            <w:pPr>
              <w:spacing w:line="360" w:lineRule="auto"/>
            </w:pPr>
            <w:r>
              <w:rPr>
                <w:rFonts w:ascii="仿宋" w:hAnsi="仿宋" w:eastAsia="仿宋"/>
                <w:sz w:val="24"/>
              </w:rPr>
              <w:t>（1）线圈品质不佳：第一版采用购买的成品线圈，线圈内径偏大，导致原边与副边之间的耦合系数k偏小（实测约0.15），等效品质因数不足，直接限制了能量传输效率。</w:t>
            </w:r>
          </w:p>
          <w:p w14:paraId="3F4FBB4D">
            <w:pPr>
              <w:spacing w:line="360" w:lineRule="auto"/>
            </w:pPr>
            <w:r>
              <w:rPr>
                <w:rFonts w:ascii="仿宋" w:hAnsi="仿宋" w:eastAsia="仿宋"/>
                <w:sz w:val="24"/>
              </w:rPr>
              <w:t>（2）谐振电容失配：谐振网络中使用的电容未经过严格的参数匹配筛选，电容的等效串联电阻（ESR）偏大，且实际容值与标称值存在偏差，导致谐振环路损耗增加、谐振频率偏移。</w:t>
            </w:r>
          </w:p>
          <w:p w14:paraId="70D14579">
            <w:pPr>
              <w:spacing w:line="360" w:lineRule="auto"/>
            </w:pPr>
            <w:r>
              <w:rPr>
                <w:rFonts w:ascii="仿宋" w:hAnsi="仿宋" w:eastAsia="仿宋"/>
                <w:sz w:val="24"/>
              </w:rPr>
              <w:t>（3）PCB布局问题：功率回路走线较长且换层过孔设计不合理，引入较大的寄生电感和电阻，导致高频工况下损耗增大；功率电路与控制电路未实现有效的物理隔离，存在电磁干扰问题。</w:t>
            </w:r>
          </w:p>
          <w:p w14:paraId="27631E42">
            <w:pPr>
              <w:spacing w:line="360" w:lineRule="auto"/>
            </w:pPr>
            <w:r>
              <w:rPr>
                <w:rFonts w:ascii="仿宋" w:hAnsi="仿宋" w:eastAsia="仿宋"/>
                <w:sz w:val="24"/>
              </w:rPr>
              <w:t>（4）输入电压偏低：24V母线电压下，同等功率对应的电流较大，导致线路损耗与开关损耗偏高，限制了效率提升空间。</w:t>
            </w:r>
          </w:p>
          <w:p w14:paraId="208C81A7">
            <w:pPr>
              <w:spacing w:line="360" w:lineRule="auto"/>
            </w:pPr>
            <w:r>
              <w:rPr>
                <w:rFonts w:ascii="仿宋" w:hAnsi="仿宋" w:eastAsia="仿宋"/>
                <w:sz w:val="24"/>
              </w:rPr>
              <w:t>（5）整流损耗大：第一版采用二极管全桥整流方案，二极管的正向导通压降造成了较大的整流损耗，尤其在低电压大电流工况下更为明显。</w:t>
            </w:r>
          </w:p>
          <w:p w14:paraId="49569592">
            <w:pPr>
              <w:spacing w:before="120" w:after="60" w:line="360" w:lineRule="auto"/>
            </w:pPr>
            <w:r>
              <w:rPr>
                <w:rFonts w:ascii="仿宋" w:hAnsi="仿宋" w:eastAsia="仿宋"/>
                <w:b/>
                <w:sz w:val="28"/>
              </w:rPr>
              <w:t>四、第二版迭代升级设计</w:t>
            </w:r>
          </w:p>
          <w:p w14:paraId="19B4DAD5">
            <w:pPr>
              <w:spacing w:line="360" w:lineRule="auto"/>
            </w:pPr>
            <w:r>
              <w:rPr>
                <w:rFonts w:ascii="仿宋" w:hAnsi="仿宋" w:eastAsia="仿宋"/>
                <w:sz w:val="24"/>
              </w:rPr>
              <w:t>基于第一版的问题分析，项目组启动了全面的第二版迭代升级，主要改进方向如下：</w:t>
            </w:r>
          </w:p>
          <w:p w14:paraId="4A3BDA38">
            <w:pPr>
              <w:spacing w:line="360" w:lineRule="auto"/>
            </w:pPr>
            <w:r>
              <w:rPr>
                <w:rFonts w:ascii="仿宋" w:hAnsi="仿宋" w:eastAsia="仿宋"/>
                <w:sz w:val="24"/>
              </w:rPr>
              <w:t>（1）MCU平台升级：将主控MCU从STM32F103C8T6升级为STM32F334C8T6。F334内置高分辨率定时器（HRTIM），具有更强的PWM生成能力和更灵活的相移控制功能，同时保留了与F103相同封装的Cortex-M4内核。</w:t>
            </w:r>
          </w:p>
          <w:p w14:paraId="752F8310">
            <w:pPr>
              <w:spacing w:line="360" w:lineRule="auto"/>
            </w:pPr>
            <w:r>
              <w:rPr>
                <w:rFonts w:ascii="仿宋" w:hAnsi="仿宋" w:eastAsia="仿宋"/>
                <w:sz w:val="24"/>
              </w:rPr>
              <w:t>（2）BOOST升压方案加入：在第一版的24V输入之后增加一级基于TPS43061的BOOST升压电路，将母线电压由24V提升至48V。升压后同等功率下的母线电流减半，有效降低了线路损耗和开关管导通损耗。</w:t>
            </w:r>
          </w:p>
          <w:p w14:paraId="3AC3EC28">
            <w:pPr>
              <w:spacing w:line="360" w:lineRule="auto"/>
            </w:pPr>
            <w:r>
              <w:rPr>
                <w:rFonts w:ascii="仿宋" w:hAnsi="仿宋" w:eastAsia="仿宋"/>
                <w:sz w:val="24"/>
              </w:rPr>
              <w:t>（3）线圈优化设计 — 手绕线圈与铁氧体屏蔽：放弃第一版使用的成品线圈，改为自行绕制发射端和接收端线圈。通过精确控制匝数、线径和绕制工艺，有效降低了线圈内径，提升了耦合系数。同时在发射线圈背面添加铁氧体磁片作为磁屏蔽手段，有效抑制了漏磁通，减少了对周围金属器件的涡流损耗，进一步提升了系统效率。</w:t>
            </w:r>
          </w:p>
          <w:p w14:paraId="1234E59A">
            <w:pPr>
              <w:spacing w:line="360" w:lineRule="auto"/>
            </w:pPr>
            <w:r>
              <w:rPr>
                <w:rFonts w:ascii="仿宋" w:hAnsi="仿宋" w:eastAsia="仿宋"/>
                <w:sz w:val="24"/>
              </w:rPr>
              <w:t>（4）异物检测（FOD）功能实现：在第二版中实现了基于线圈电流衰减Q值检测的异物检测功能。系统上电前，MCU控制逆变器输出短时（微秒级）激励脉冲驱动发射线圈，随后关闭PWM输出进入高阻态，通过电流传感器和ADC高速采样检测线圈谐振电流的自由衰减波形，利用衰减包络拟合计算出回路品质因数Q值。当Q值低于预设阈值时判定有金属异物存在，系统拒绝启动并进行报警提示。该功能的加入大幅提升了系统的安全性与实用性。</w:t>
            </w:r>
          </w:p>
          <w:p w14:paraId="12590BFB">
            <w:pPr>
              <w:spacing w:line="360" w:lineRule="auto"/>
            </w:pPr>
            <w:r>
              <w:rPr>
                <w:rFonts w:ascii="仿宋" w:hAnsi="仿宋" w:eastAsia="仿宋"/>
                <w:sz w:val="24"/>
              </w:rPr>
              <w:t>线圈电流的精确检测是实现上述FOD功能的基础。系统在LCC谐振主回路串联10mΩ高精度采样电阻，采用Kelvin四线差分走线消除PCB寄生电阻对测量精度的影响；信号经OPA365差分放大器放大16.5倍并以1.65V中间电平偏置，将双向线圈电流（±10A量程）线性映射至0~3.3V的ADC输入范围，系统灵敏度为0.165V/A。信号链路中串入共模扼流圈（YI201209U101）抑制100kHz开关共模噪声，输出端经194kHzRC低通滤波抗混叠后，接入STM32F334的12位ADC（ADC1_IN11/PB0引脚），由DMA以1kHz频率循环采样并自动填充至adc_raw[]缓冲区。FOD检测时通过adc_read_iac_a()函数实时读取线圈电流瞬时值，利用Ring-Down衰减波形的对数拟合计算回路品质因数Q值，实现无需接收端配合的异物判别。</w:t>
            </w:r>
          </w:p>
          <w:p w14:paraId="19A0D75C">
            <w:pPr>
              <w:spacing w:line="360" w:lineRule="auto"/>
            </w:pPr>
            <w:r>
              <w:rPr>
                <w:rFonts w:ascii="仿宋" w:hAnsi="仿宋" w:eastAsia="仿宋"/>
                <w:sz w:val="24"/>
              </w:rPr>
              <w:t>（5）整流方案升级：接收端整流电路由第一版的二极管全桥整流（无控整流）升级为混合整流方案——上桥臂使用二极管、下桥臂使用MOSFET并由高频PWM信号控制（同步整流）。这种"上半桥二极管+下半桥MOSFET"的混合架构显著降低了正向导通压降与整流损耗，提升了接收端效率。</w:t>
            </w:r>
          </w:p>
          <w:p w14:paraId="4A72A2D6">
            <w:pPr>
              <w:spacing w:line="360" w:lineRule="auto"/>
            </w:pPr>
            <w:r>
              <w:rPr>
                <w:rFonts w:ascii="仿宋" w:hAnsi="仿宋" w:eastAsia="仿宋"/>
                <w:sz w:val="24"/>
              </w:rPr>
              <w:t>（6）PCB布局优化：将功率板与控制板进行物理分离布局，实现强弱电隔离，降低功率回路对控制回路的电磁干扰。优化大电流走线，将换层过孔改为围栏式过孔设计，减小寄生电感和电阻。</w:t>
            </w:r>
          </w:p>
          <w:p w14:paraId="2ADDD159">
            <w:pPr>
              <w:spacing w:line="360" w:lineRule="auto"/>
            </w:pPr>
            <w:r>
              <w:rPr>
                <w:rFonts w:ascii="仿宋" w:hAnsi="仿宋" w:eastAsia="仿宋"/>
                <w:sz w:val="24"/>
              </w:rPr>
              <w:t>（7）嵌入式代码架构重构：基于FreeRTOS实时操作系统对嵌入式软件进行了全面重构，实现了多任务模块化架构。主要任务包括：PWM控制任务（移相控制与死区管理）、ADC采样任务（电流/电压多通道采集）、FOD检测任务（Q值计算与异物判断）、保护任务（过流/过压/过温保护）、通信任务（UART调试输出）等。FreeRTOS的引入使代码结构更加清晰，任务调度更加高效，系统实时性和可靠性得到显著提升。</w:t>
            </w:r>
          </w:p>
          <w:p w14:paraId="1AB50280">
            <w:pPr>
              <w:spacing w:before="120" w:after="60" w:line="360" w:lineRule="auto"/>
            </w:pPr>
            <w:r>
              <w:rPr>
                <w:rFonts w:ascii="仿宋" w:hAnsi="仿宋" w:eastAsia="仿宋"/>
                <w:b/>
                <w:sz w:val="28"/>
              </w:rPr>
              <w:t>五、电路仿真与磁场仿真</w:t>
            </w:r>
          </w:p>
          <w:p w14:paraId="2D2DA0B3">
            <w:pPr>
              <w:spacing w:line="360" w:lineRule="auto"/>
            </w:pPr>
            <w:r>
              <w:rPr>
                <w:rFonts w:ascii="仿宋" w:hAnsi="仿宋" w:eastAsia="仿宋"/>
                <w:sz w:val="24"/>
              </w:rPr>
              <w:t>在第二版设计中，项目组延续了第一版的仿真验证方法：</w:t>
            </w:r>
          </w:p>
          <w:p w14:paraId="4A7AAF58">
            <w:pPr>
              <w:spacing w:line="360" w:lineRule="auto"/>
            </w:pPr>
            <w:r>
              <w:rPr>
                <w:rFonts w:ascii="仿宋" w:hAnsi="仿宋" w:eastAsia="仿宋"/>
                <w:sz w:val="24"/>
              </w:rPr>
              <w:t>（1）Simulink电路仿真模型根据第二版参数（48V母线电压、更新后的LCC谐振网络参数、混合整流拓扑）进行了更新与重新验证，确保理论设计的正确性。</w:t>
            </w:r>
          </w:p>
          <w:p w14:paraId="5FA5A546">
            <w:pPr>
              <w:spacing w:line="360" w:lineRule="auto"/>
            </w:pPr>
            <w:r>
              <w:rPr>
                <w:rFonts w:ascii="仿宋" w:hAnsi="仿宋" w:eastAsia="仿宋"/>
                <w:sz w:val="24"/>
              </w:rPr>
              <w:t>（2）Ansys Maxwell磁场仿真模型针对手绕线圈的几何参数进行了更新，模拟了铁氧体磁片对磁场的屏蔽效果，验证了线圈结构与磁屏蔽方案的合理性。</w:t>
            </w:r>
          </w:p>
          <w:p w14:paraId="70C25441">
            <w:pPr>
              <w:spacing w:before="120" w:after="60" w:line="360" w:lineRule="auto"/>
            </w:pPr>
            <w:r>
              <w:rPr>
                <w:rFonts w:ascii="仿宋" w:hAnsi="仿宋" w:eastAsia="仿宋"/>
                <w:b/>
                <w:sz w:val="28"/>
              </w:rPr>
              <w:t>六、第二版当前进展</w:t>
            </w:r>
          </w:p>
          <w:p w14:paraId="6A273C0B">
            <w:pPr>
              <w:spacing w:line="360" w:lineRule="auto"/>
            </w:pPr>
            <w:r>
              <w:rPr>
                <w:rFonts w:ascii="仿宋" w:hAnsi="仿宋" w:eastAsia="仿宋"/>
                <w:sz w:val="24"/>
              </w:rPr>
              <w:t>截至中期检查，第二版迭代已取得以下阶段成果：</w:t>
            </w:r>
          </w:p>
          <w:p w14:paraId="7E376AB4">
            <w:pPr>
              <w:spacing w:before="120" w:after="60" w:line="360" w:lineRule="auto"/>
            </w:pPr>
            <w:r>
              <w:rPr>
                <w:rFonts w:ascii="仿宋" w:hAnsi="仿宋" w:eastAsia="仿宋"/>
                <w:b/>
                <w:sz w:val="28"/>
              </w:rPr>
              <w:t>已完成项目：</w:t>
            </w:r>
            <w:r>
              <w:rPr>
                <w:rFonts w:ascii="仿宋" w:hAnsi="仿宋" w:eastAsia="仿宋"/>
                <w:b/>
                <w:sz w:val="28"/>
              </w:rPr>
              <w:br w:type="textWrapping"/>
            </w:r>
            <w:r>
              <w:rPr>
                <w:rFonts w:ascii="仿宋" w:hAnsi="仿宋" w:eastAsia="仿宋"/>
                <w:b/>
                <w:sz w:val="28"/>
              </w:rPr>
              <w:t>• 手绕自制发射端与接收端线圈，并完成铁氧体磁片装配</w:t>
            </w:r>
            <w:r>
              <w:rPr>
                <w:rFonts w:ascii="仿宋" w:hAnsi="仿宋" w:eastAsia="仿宋"/>
                <w:b/>
                <w:sz w:val="28"/>
              </w:rPr>
              <w:br w:type="textWrapping"/>
            </w:r>
            <w:r>
              <w:rPr>
                <w:rFonts w:ascii="仿宋" w:hAnsi="仿宋" w:eastAsia="仿宋"/>
                <w:b/>
                <w:sz w:val="28"/>
              </w:rPr>
              <w:t>• 发射端BOOST升压电路设计（24V→48V）</w:t>
            </w:r>
            <w:r>
              <w:rPr>
                <w:rFonts w:ascii="仿宋" w:hAnsi="仿宋" w:eastAsia="仿宋"/>
                <w:b/>
                <w:sz w:val="28"/>
              </w:rPr>
              <w:br w:type="textWrapping"/>
            </w:r>
            <w:r>
              <w:rPr>
                <w:rFonts w:ascii="仿宋" w:hAnsi="仿宋" w:eastAsia="仿宋"/>
                <w:b/>
                <w:sz w:val="28"/>
              </w:rPr>
              <w:t>• 发射端全桥逆变电路重设计（匹配48V平台与F334控制）</w:t>
            </w:r>
            <w:r>
              <w:rPr>
                <w:rFonts w:ascii="仿宋" w:hAnsi="仿宋" w:eastAsia="仿宋"/>
                <w:b/>
                <w:sz w:val="28"/>
              </w:rPr>
              <w:br w:type="textWrapping"/>
            </w:r>
            <w:r>
              <w:rPr>
                <w:rFonts w:ascii="仿宋" w:hAnsi="仿宋" w:eastAsia="仿宋"/>
                <w:b/>
                <w:sz w:val="28"/>
              </w:rPr>
              <w:t>• 接收端混合整流电路设计</w:t>
            </w:r>
            <w:r>
              <w:rPr>
                <w:rFonts w:ascii="仿宋" w:hAnsi="仿宋" w:eastAsia="仿宋"/>
                <w:b/>
                <w:sz w:val="28"/>
              </w:rPr>
              <w:br w:type="textWrapping"/>
            </w:r>
            <w:r>
              <w:rPr>
                <w:rFonts w:ascii="仿宋" w:hAnsi="仿宋" w:eastAsia="仿宋"/>
                <w:b/>
                <w:sz w:val="28"/>
              </w:rPr>
              <w:t>• 基于FreeRTOS的模块化嵌入式代码框架搭建</w:t>
            </w:r>
            <w:r>
              <w:rPr>
                <w:rFonts w:ascii="仿宋" w:hAnsi="仿宋" w:eastAsia="仿宋"/>
                <w:b/>
                <w:sz w:val="28"/>
              </w:rPr>
              <w:br w:type="textWrapping"/>
            </w:r>
            <w:r>
              <w:rPr>
                <w:rFonts w:ascii="仿宋" w:hAnsi="仿宋" w:eastAsia="仿宋"/>
                <w:b/>
                <w:sz w:val="28"/>
              </w:rPr>
              <w:t>• PCB重新设计与外发打样（已回板）</w:t>
            </w:r>
            <w:r>
              <w:rPr>
                <w:rFonts w:ascii="仿宋" w:hAnsi="仿宋" w:eastAsia="仿宋"/>
                <w:b/>
                <w:sz w:val="28"/>
              </w:rPr>
              <w:br w:type="textWrapping"/>
            </w:r>
            <w:r>
              <w:rPr>
                <w:rFonts w:ascii="仿宋" w:hAnsi="仿宋" w:eastAsia="仿宋"/>
                <w:b/>
                <w:sz w:val="28"/>
              </w:rPr>
              <w:t>• 部分硬件焊接与基础功能调试</w:t>
            </w:r>
          </w:p>
          <w:p w14:paraId="063C39A3">
            <w:pPr>
              <w:spacing w:before="120" w:after="60" w:line="360" w:lineRule="auto"/>
              <w:rPr>
                <w:rFonts w:hint="eastAsia" w:ascii="仿宋" w:hAnsi="仿宋" w:eastAsia="仿宋"/>
                <w:b/>
                <w:sz w:val="28"/>
              </w:rPr>
            </w:pPr>
            <w:r>
              <w:rPr>
                <w:rFonts w:ascii="仿宋" w:hAnsi="仿宋" w:eastAsia="仿宋"/>
                <w:b/>
                <w:sz w:val="28"/>
              </w:rPr>
              <w:t>进行中项目：</w:t>
            </w:r>
            <w:r>
              <w:rPr>
                <w:rFonts w:ascii="仿宋" w:hAnsi="仿宋" w:eastAsia="仿宋"/>
                <w:b/>
                <w:sz w:val="28"/>
              </w:rPr>
              <w:br w:type="textWrapping"/>
            </w:r>
            <w:r>
              <w:rPr>
                <w:rFonts w:ascii="仿宋" w:hAnsi="仿宋" w:eastAsia="仿宋"/>
                <w:b/>
                <w:sz w:val="28"/>
              </w:rPr>
              <w:t>• FOD异物检测功能的参数标定与实物验证</w:t>
            </w:r>
            <w:r>
              <w:rPr>
                <w:rFonts w:ascii="仿宋" w:hAnsi="仿宋" w:eastAsia="仿宋"/>
                <w:b/>
                <w:sz w:val="28"/>
              </w:rPr>
              <w:br w:type="textWrapping"/>
            </w:r>
            <w:r>
              <w:rPr>
                <w:rFonts w:ascii="仿宋" w:hAnsi="仿宋" w:eastAsia="仿宋"/>
                <w:b/>
                <w:sz w:val="28"/>
              </w:rPr>
              <w:t>• 全系统联合效率测试与优化</w:t>
            </w:r>
            <w:r>
              <w:rPr>
                <w:rFonts w:ascii="仿宋" w:hAnsi="仿宋" w:eastAsia="仿宋"/>
                <w:b/>
                <w:sz w:val="28"/>
              </w:rPr>
              <w:br w:type="textWrapping"/>
            </w:r>
            <w:r>
              <w:rPr>
                <w:rFonts w:ascii="仿宋" w:hAnsi="仿宋" w:eastAsia="仿宋"/>
                <w:b/>
                <w:sz w:val="28"/>
              </w:rPr>
              <w:t>• Simulink与Ansys仿真模型的参数更新与验证</w:t>
            </w:r>
          </w:p>
          <w:p w14:paraId="4C41D48B">
            <w:pPr>
              <w:spacing w:before="120" w:after="60" w:line="360" w:lineRule="auto"/>
              <w:rPr>
                <w:rFonts w:hint="eastAsia" w:ascii="仿宋" w:hAnsi="仿宋" w:eastAsia="仿宋"/>
                <w:b/>
                <w:sz w:val="28"/>
              </w:rPr>
            </w:pPr>
          </w:p>
          <w:p w14:paraId="1DA7C489">
            <w:pPr>
              <w:spacing w:before="120" w:after="60" w:line="360" w:lineRule="auto"/>
              <w:rPr>
                <w:rFonts w:hint="eastAsia" w:ascii="仿宋" w:hAnsi="仿宋" w:eastAsia="仿宋"/>
                <w:b/>
                <w:sz w:val="28"/>
              </w:rPr>
            </w:pPr>
          </w:p>
          <w:p w14:paraId="45C4D0A5">
            <w:pPr>
              <w:spacing w:before="120" w:after="60" w:line="360" w:lineRule="auto"/>
              <w:rPr>
                <w:rFonts w:hint="eastAsia" w:ascii="仿宋" w:hAnsi="仿宋" w:eastAsia="仿宋"/>
                <w:b/>
                <w:sz w:val="28"/>
              </w:rPr>
            </w:pPr>
          </w:p>
          <w:p w14:paraId="50308789">
            <w:pPr>
              <w:spacing w:before="120" w:after="60" w:line="360" w:lineRule="auto"/>
              <w:rPr>
                <w:rFonts w:hint="eastAsia" w:ascii="仿宋" w:hAnsi="仿宋" w:eastAsia="仿宋"/>
                <w:b/>
                <w:sz w:val="28"/>
              </w:rPr>
            </w:pPr>
          </w:p>
          <w:p w14:paraId="6E4424C5">
            <w:pPr>
              <w:spacing w:before="120" w:after="60" w:line="360" w:lineRule="auto"/>
              <w:rPr>
                <w:rFonts w:hint="eastAsia" w:ascii="仿宋" w:hAnsi="仿宋" w:eastAsia="仿宋"/>
                <w:b/>
                <w:sz w:val="28"/>
              </w:rPr>
            </w:pPr>
          </w:p>
          <w:p w14:paraId="2F056D22">
            <w:pPr>
              <w:spacing w:before="120" w:after="60" w:line="360" w:lineRule="auto"/>
            </w:pPr>
          </w:p>
        </w:tc>
      </w:tr>
      <w:tr w14:paraId="6823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8463" w:type="dxa"/>
            <w:gridSpan w:val="7"/>
            <w:tcBorders>
              <w:top w:val="single" w:color="auto" w:sz="4" w:space="0"/>
              <w:left w:val="single" w:color="auto" w:sz="4" w:space="0"/>
              <w:bottom w:val="single" w:color="auto" w:sz="4" w:space="0"/>
              <w:right w:val="single" w:color="auto" w:sz="4" w:space="0"/>
            </w:tcBorders>
            <w:vAlign w:val="center"/>
          </w:tcPr>
          <w:p w14:paraId="58B9BA0F">
            <w:pPr>
              <w:spacing w:before="120" w:after="60" w:line="360" w:lineRule="auto"/>
              <w:rPr>
                <w:rFonts w:ascii="仿宋_GB2312" w:eastAsia="仿宋_GB2312"/>
                <w:b/>
                <w:sz w:val="24"/>
              </w:rPr>
            </w:pPr>
            <w:r>
              <w:rPr>
                <w:rFonts w:hint="eastAsia" w:ascii="仿宋" w:hAnsi="仿宋" w:eastAsia="仿宋"/>
                <w:b/>
                <w:sz w:val="28"/>
              </w:rPr>
              <w:t>三、已取得的阶段性成果（条文列述，可附照片）</w:t>
            </w:r>
          </w:p>
        </w:tc>
      </w:tr>
      <w:tr w14:paraId="1B994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5" w:hRule="atLeast"/>
        </w:trPr>
        <w:tc>
          <w:tcPr>
            <w:tcW w:w="8463" w:type="dxa"/>
            <w:gridSpan w:val="7"/>
            <w:tcBorders>
              <w:top w:val="single" w:color="auto" w:sz="4" w:space="0"/>
              <w:left w:val="single" w:color="auto" w:sz="4" w:space="0"/>
              <w:bottom w:val="single" w:color="auto" w:sz="4" w:space="0"/>
              <w:right w:val="single" w:color="auto" w:sz="4" w:space="0"/>
            </w:tcBorders>
            <w:vAlign w:val="center"/>
          </w:tcPr>
          <w:p w14:paraId="3EE45FB9">
            <w:pPr>
              <w:spacing w:line="360" w:lineRule="auto"/>
              <w:rPr>
                <w:rFonts w:ascii="仿宋_GB2312" w:eastAsia="仿宋_GB2312"/>
                <w:color w:val="000000" w:themeColor="text1"/>
                <w:sz w:val="24"/>
                <w14:textFill>
                  <w14:solidFill>
                    <w14:schemeClr w14:val="tx1"/>
                  </w14:solidFill>
                </w14:textFill>
              </w:rPr>
            </w:pPr>
            <w:r>
              <w:rPr>
                <w:rFonts w:ascii="仿宋" w:hAnsi="仿宋" w:eastAsia="仿宋"/>
                <w:sz w:val="24"/>
              </w:rPr>
              <w:t>1. 完成了无线电能传输领域系统性的文献调研与理论学习，覆盖LCC-LCC拓扑、DD/DDQ线圈、无板间通讯FOD方法等关键技术方向。</w:t>
            </w:r>
          </w:p>
          <w:p w14:paraId="029F603A">
            <w:pPr>
              <w:spacing w:line="360" w:lineRule="auto"/>
              <w:rPr>
                <w:rFonts w:hint="eastAsia" w:ascii="仿宋" w:hAnsi="仿宋" w:eastAsia="仿宋"/>
                <w:sz w:val="24"/>
              </w:rPr>
            </w:pPr>
            <w:r>
              <w:rPr>
                <w:rFonts w:ascii="仿宋" w:hAnsi="仿宋" w:eastAsia="仿宋"/>
                <w:sz w:val="24"/>
              </w:rPr>
              <w:t>2. 完成第一版样机的完整设计与制作流程（电路设计→Simulink仿真→Ansys磁场仿真→PCB设计→焊接调试），建立了从理论到实物的完整研发能力。</w:t>
            </w:r>
          </w:p>
          <w:p w14:paraId="68EC69DE">
            <w:pPr>
              <w:spacing w:line="360" w:lineRule="auto"/>
            </w:pPr>
            <w:r>
              <w:drawing>
                <wp:inline distT="0" distB="0" distL="0" distR="0">
                  <wp:extent cx="5242560" cy="1943735"/>
                  <wp:effectExtent l="0" t="0" r="0" b="0"/>
                  <wp:docPr id="1259221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21840" name="图片 1"/>
                          <pic:cNvPicPr>
                            <a:picLocks noChangeAspect="1"/>
                          </pic:cNvPicPr>
                        </pic:nvPicPr>
                        <pic:blipFill>
                          <a:blip r:embed="rId6"/>
                          <a:stretch>
                            <a:fillRect/>
                          </a:stretch>
                        </pic:blipFill>
                        <pic:spPr>
                          <a:xfrm>
                            <a:off x="0" y="0"/>
                            <a:ext cx="5242560" cy="1943735"/>
                          </a:xfrm>
                          <a:prstGeom prst="rect">
                            <a:avLst/>
                          </a:prstGeom>
                        </pic:spPr>
                      </pic:pic>
                    </a:graphicData>
                  </a:graphic>
                </wp:inline>
              </w:drawing>
            </w:r>
          </w:p>
          <w:p w14:paraId="0F1F6F7B">
            <w:pPr>
              <w:spacing w:line="360" w:lineRule="auto"/>
              <w:jc w:val="center"/>
            </w:pPr>
            <w:r>
              <w:rPr>
                <w:rFonts w:ascii="仿宋" w:hAnsi="仿宋" w:eastAsia="仿宋"/>
                <w:sz w:val="24"/>
              </w:rPr>
              <w:t>(a)</w:t>
            </w:r>
            <w:r>
              <w:rPr>
                <w:rFonts w:hint="eastAsia" w:ascii="仿宋" w:hAnsi="仿宋" w:eastAsia="仿宋"/>
                <w:sz w:val="24"/>
              </w:rPr>
              <w:t>主电路原理图</w:t>
            </w:r>
          </w:p>
          <w:p w14:paraId="22E84BBA">
            <w:pPr>
              <w:keepNext/>
              <w:spacing w:line="360" w:lineRule="auto"/>
            </w:pPr>
            <w:r>
              <w:drawing>
                <wp:inline distT="0" distB="0" distL="0" distR="0">
                  <wp:extent cx="5242560" cy="3206750"/>
                  <wp:effectExtent l="0" t="0" r="0" b="0"/>
                  <wp:docPr id="21369363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36308" name="图片 1"/>
                          <pic:cNvPicPr>
                            <a:picLocks noChangeAspect="1"/>
                          </pic:cNvPicPr>
                        </pic:nvPicPr>
                        <pic:blipFill>
                          <a:blip r:embed="rId7"/>
                          <a:stretch>
                            <a:fillRect/>
                          </a:stretch>
                        </pic:blipFill>
                        <pic:spPr>
                          <a:xfrm>
                            <a:off x="0" y="0"/>
                            <a:ext cx="5242560" cy="3206750"/>
                          </a:xfrm>
                          <a:prstGeom prst="rect">
                            <a:avLst/>
                          </a:prstGeom>
                        </pic:spPr>
                      </pic:pic>
                    </a:graphicData>
                  </a:graphic>
                </wp:inline>
              </w:drawing>
            </w:r>
          </w:p>
          <w:p w14:paraId="44ADE454">
            <w:pPr>
              <w:pStyle w:val="2"/>
              <w:jc w:val="center"/>
              <w:rPr>
                <w:rFonts w:hint="eastAsia" w:ascii="仿宋" w:hAnsi="仿宋" w:eastAsia="仿宋" w:cs="Times New Roman"/>
                <w:sz w:val="24"/>
                <w:szCs w:val="24"/>
              </w:rPr>
            </w:pPr>
            <w:r>
              <w:rPr>
                <w:rFonts w:hint="eastAsia"/>
              </w:rPr>
              <w:t xml:space="preserve"> </w:t>
            </w:r>
            <w:r>
              <w:rPr>
                <w:rFonts w:ascii="仿宋" w:hAnsi="仿宋" w:eastAsia="仿宋" w:cs="Times New Roman"/>
                <w:sz w:val="24"/>
                <w:szCs w:val="24"/>
              </w:rPr>
              <w:t>(</w:t>
            </w:r>
            <w:r>
              <w:rPr>
                <w:rFonts w:hint="eastAsia" w:ascii="仿宋" w:hAnsi="仿宋" w:eastAsia="仿宋" w:cs="Times New Roman"/>
                <w:sz w:val="24"/>
                <w:szCs w:val="24"/>
              </w:rPr>
              <w:t>b</w:t>
            </w:r>
            <w:r>
              <w:rPr>
                <w:rFonts w:ascii="仿宋" w:hAnsi="仿宋" w:eastAsia="仿宋" w:cs="Times New Roman"/>
                <w:sz w:val="24"/>
                <w:szCs w:val="24"/>
              </w:rPr>
              <w:t>)</w:t>
            </w:r>
            <w:r>
              <w:rPr>
                <w:rFonts w:hint="eastAsia" w:ascii="仿宋" w:hAnsi="仿宋" w:eastAsia="仿宋" w:cs="Times New Roman"/>
                <w:sz w:val="24"/>
                <w:szCs w:val="24"/>
              </w:rPr>
              <w:t>Simulink仿真模型</w:t>
            </w:r>
          </w:p>
          <w:p w14:paraId="2FF24EC7">
            <w:r>
              <w:drawing>
                <wp:inline distT="0" distB="0" distL="0" distR="0">
                  <wp:extent cx="5236845" cy="2721610"/>
                  <wp:effectExtent l="0" t="0" r="1905" b="2540"/>
                  <wp:docPr id="1638303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03267" name="图片 1"/>
                          <pic:cNvPicPr>
                            <a:picLocks noChangeAspect="1"/>
                          </pic:cNvPicPr>
                        </pic:nvPicPr>
                        <pic:blipFill>
                          <a:blip r:embed="rId8"/>
                          <a:stretch>
                            <a:fillRect/>
                          </a:stretch>
                        </pic:blipFill>
                        <pic:spPr>
                          <a:xfrm>
                            <a:off x="0" y="0"/>
                            <a:ext cx="5236845" cy="2721610"/>
                          </a:xfrm>
                          <a:prstGeom prst="rect">
                            <a:avLst/>
                          </a:prstGeom>
                        </pic:spPr>
                      </pic:pic>
                    </a:graphicData>
                  </a:graphic>
                </wp:inline>
              </w:drawing>
            </w:r>
          </w:p>
          <w:p w14:paraId="327307E0">
            <w:pPr>
              <w:pStyle w:val="2"/>
              <w:jc w:val="center"/>
              <w:rPr>
                <w:rFonts w:hint="eastAsia" w:ascii="仿宋" w:hAnsi="仿宋" w:eastAsia="仿宋" w:cs="Times New Roman"/>
                <w:sz w:val="24"/>
                <w:szCs w:val="24"/>
              </w:rPr>
            </w:pPr>
            <w:r>
              <w:rPr>
                <w:rFonts w:ascii="仿宋" w:hAnsi="仿宋" w:eastAsia="仿宋" w:cs="Times New Roman"/>
                <w:sz w:val="24"/>
                <w:szCs w:val="24"/>
              </w:rPr>
              <w:t>(</w:t>
            </w:r>
            <w:r>
              <w:rPr>
                <w:rFonts w:hint="eastAsia" w:ascii="仿宋" w:hAnsi="仿宋" w:eastAsia="仿宋" w:cs="Times New Roman"/>
                <w:sz w:val="24"/>
                <w:szCs w:val="24"/>
              </w:rPr>
              <w:t>c</w:t>
            </w:r>
            <w:r>
              <w:rPr>
                <w:rFonts w:ascii="仿宋" w:hAnsi="仿宋" w:eastAsia="仿宋" w:cs="Times New Roman"/>
                <w:sz w:val="24"/>
                <w:szCs w:val="24"/>
              </w:rPr>
              <w:t>)</w:t>
            </w:r>
            <w:r>
              <w:rPr>
                <w:rFonts w:hint="eastAsia" w:ascii="仿宋" w:hAnsi="仿宋" w:eastAsia="仿宋" w:cs="Times New Roman"/>
                <w:sz w:val="24"/>
                <w:szCs w:val="24"/>
              </w:rPr>
              <w:t>实物波形</w:t>
            </w:r>
          </w:p>
          <w:p w14:paraId="1CEF874B">
            <w:pPr>
              <w:spacing w:line="360" w:lineRule="auto"/>
            </w:pPr>
          </w:p>
          <w:p w14:paraId="4FF0FAE0">
            <w:pPr>
              <w:spacing w:line="360" w:lineRule="auto"/>
            </w:pPr>
            <w:r>
              <w:t>Ansys磁场仿真</w:t>
            </w:r>
          </w:p>
          <w:p w14:paraId="12326F1A">
            <w:pPr>
              <w:spacing w:line="360" w:lineRule="auto"/>
              <w:rPr>
                <w:rFonts w:hint="eastAsia" w:ascii="仿宋" w:hAnsi="仿宋" w:eastAsia="仿宋"/>
                <w:sz w:val="24"/>
              </w:rPr>
            </w:pPr>
            <w:r>
              <w:rPr>
                <w:rFonts w:ascii="仿宋" w:hAnsi="仿宋" w:eastAsia="仿宋"/>
                <w:sz w:val="24"/>
              </w:rPr>
              <w:t>本阶段磁场仿真工作主要围绕磁耦合机构在不同空间状态和不同磁屏蔽层结构下的磁场分布特性展开。通过对比磁耦合机构正对状态与水平偏移状态下的磁场云图，可以直观观察到偏移会引起磁场分布的不对称变化，并改变发射端与接收端之间的耦合关系；</w:t>
            </w:r>
          </w:p>
          <w:p w14:paraId="513A9723">
            <w:pPr>
              <w:spacing w:line="360" w:lineRule="auto"/>
              <w:jc w:val="center"/>
              <w:rPr>
                <w:rFonts w:hint="eastAsia" w:ascii="仿宋" w:hAnsi="仿宋" w:eastAsia="仿宋"/>
                <w:sz w:val="24"/>
              </w:rPr>
            </w:pPr>
            <w:r>
              <w:drawing>
                <wp:inline distT="0" distB="0" distL="0" distR="0">
                  <wp:extent cx="4942205" cy="2883535"/>
                  <wp:effectExtent l="0" t="0" r="0" b="0"/>
                  <wp:docPr id="18615403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40386" name="drawing"/>
                          <pic:cNvPicPr>
                            <a:picLocks noChangeAspect="1"/>
                          </pic:cNvPicPr>
                        </pic:nvPicPr>
                        <pic:blipFill>
                          <a:blip r:embed="rId9"/>
                          <a:stretch>
                            <a:fillRect/>
                          </a:stretch>
                        </pic:blipFill>
                        <pic:spPr>
                          <a:xfrm>
                            <a:off x="0" y="0"/>
                            <a:ext cx="4942332" cy="2883782"/>
                          </a:xfrm>
                          <a:prstGeom prst="rect">
                            <a:avLst/>
                          </a:prstGeom>
                        </pic:spPr>
                      </pic:pic>
                    </a:graphicData>
                  </a:graphic>
                </wp:inline>
              </w:drawing>
            </w:r>
          </w:p>
          <w:p w14:paraId="0E0F1040">
            <w:pPr>
              <w:spacing w:line="360" w:lineRule="auto"/>
              <w:jc w:val="center"/>
              <w:rPr>
                <w:rFonts w:hint="eastAsia" w:ascii="仿宋" w:hAnsi="仿宋" w:eastAsia="仿宋"/>
                <w:sz w:val="24"/>
              </w:rPr>
            </w:pPr>
            <w:r>
              <w:rPr>
                <w:rFonts w:ascii="仿宋" w:hAnsi="仿宋" w:eastAsia="仿宋"/>
                <w:sz w:val="24"/>
              </w:rPr>
              <w:t>(a)磁耦合机构中心正对</w:t>
            </w:r>
          </w:p>
          <w:p w14:paraId="1BE7599F">
            <w:pPr>
              <w:spacing w:line="360" w:lineRule="auto"/>
              <w:jc w:val="center"/>
              <w:rPr>
                <w:rFonts w:hint="eastAsia" w:ascii="仿宋" w:hAnsi="仿宋" w:eastAsia="仿宋"/>
                <w:sz w:val="24"/>
              </w:rPr>
            </w:pPr>
            <w:r>
              <w:drawing>
                <wp:inline distT="0" distB="0" distL="0" distR="0">
                  <wp:extent cx="5191125" cy="3248025"/>
                  <wp:effectExtent l="0" t="0" r="0" b="0"/>
                  <wp:docPr id="6175254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25427" name="drawing"/>
                          <pic:cNvPicPr>
                            <a:picLocks noChangeAspect="1"/>
                          </pic:cNvPicPr>
                        </pic:nvPicPr>
                        <pic:blipFill>
                          <a:blip r:embed="rId10"/>
                          <a:stretch>
                            <a:fillRect/>
                          </a:stretch>
                        </pic:blipFill>
                        <pic:spPr>
                          <a:xfrm>
                            <a:off x="0" y="0"/>
                            <a:ext cx="5191125" cy="3248025"/>
                          </a:xfrm>
                          <a:prstGeom prst="rect">
                            <a:avLst/>
                          </a:prstGeom>
                        </pic:spPr>
                      </pic:pic>
                    </a:graphicData>
                  </a:graphic>
                </wp:inline>
              </w:drawing>
            </w:r>
            <w:r>
              <w:rPr>
                <w:rFonts w:ascii="仿宋" w:hAnsi="仿宋" w:eastAsia="仿宋"/>
                <w:sz w:val="24"/>
              </w:rPr>
              <w:t>(b)磁耦合机构X向偏移10mm</w:t>
            </w:r>
          </w:p>
          <w:p w14:paraId="63837DD9">
            <w:pPr>
              <w:spacing w:line="360" w:lineRule="auto"/>
              <w:jc w:val="center"/>
              <w:rPr>
                <w:rFonts w:hint="eastAsia" w:ascii="仿宋" w:hAnsi="仿宋" w:eastAsia="仿宋"/>
                <w:sz w:val="24"/>
              </w:rPr>
            </w:pPr>
            <w:r>
              <w:rPr>
                <w:rFonts w:ascii="仿宋" w:hAnsi="仿宋" w:eastAsia="仿宋"/>
                <w:sz w:val="24"/>
              </w:rPr>
              <w:t>图组1  磁耦合机构在不同偏移状态的磁场分布对比云图</w:t>
            </w:r>
          </w:p>
          <w:p w14:paraId="59144078">
            <w:pPr>
              <w:spacing w:line="360" w:lineRule="auto"/>
              <w:jc w:val="center"/>
              <w:rPr>
                <w:rFonts w:hint="eastAsia" w:ascii="仿宋" w:hAnsi="仿宋" w:eastAsia="仿宋"/>
                <w:sz w:val="24"/>
              </w:rPr>
            </w:pPr>
          </w:p>
          <w:p w14:paraId="23323FA9">
            <w:pPr>
              <w:spacing w:line="360" w:lineRule="auto"/>
              <w:jc w:val="center"/>
              <w:rPr>
                <w:rFonts w:hint="eastAsia" w:ascii="仿宋" w:hAnsi="仿宋" w:eastAsia="仿宋"/>
                <w:sz w:val="24"/>
              </w:rPr>
            </w:pPr>
          </w:p>
          <w:p w14:paraId="15051615">
            <w:pPr>
              <w:spacing w:line="360" w:lineRule="auto"/>
              <w:jc w:val="center"/>
              <w:rPr>
                <w:rFonts w:hint="eastAsia" w:ascii="仿宋" w:hAnsi="仿宋" w:eastAsia="仿宋"/>
                <w:sz w:val="24"/>
              </w:rPr>
            </w:pPr>
          </w:p>
          <w:p w14:paraId="202182E2">
            <w:pPr>
              <w:spacing w:line="360" w:lineRule="auto"/>
              <w:jc w:val="center"/>
              <w:rPr>
                <w:rFonts w:hint="eastAsia" w:ascii="仿宋" w:hAnsi="仿宋" w:eastAsia="仿宋"/>
                <w:sz w:val="24"/>
              </w:rPr>
            </w:pPr>
          </w:p>
          <w:p w14:paraId="234FC8F9">
            <w:pPr>
              <w:spacing w:line="360" w:lineRule="auto"/>
              <w:jc w:val="center"/>
              <w:rPr>
                <w:rFonts w:hint="eastAsia" w:ascii="仿宋" w:hAnsi="仿宋" w:eastAsia="仿宋"/>
                <w:sz w:val="24"/>
              </w:rPr>
            </w:pPr>
          </w:p>
          <w:p w14:paraId="2F328D1C">
            <w:pPr>
              <w:spacing w:line="360" w:lineRule="auto"/>
              <w:rPr>
                <w:rFonts w:hint="eastAsia" w:ascii="仿宋" w:hAnsi="仿宋" w:eastAsia="仿宋"/>
                <w:sz w:val="24"/>
              </w:rPr>
            </w:pPr>
            <w:r>
              <w:rPr>
                <w:rFonts w:ascii="仿宋" w:hAnsi="仿宋" w:eastAsia="仿宋"/>
                <w:sz w:val="24"/>
              </w:rPr>
              <w:t>同时，对完全覆盖磁屏蔽层与8条幅状覆盖磁屏蔽层的磁场云图进行对比，有助于分析不同屏蔽结构对磁场集中、泄漏抑制以及耦合效率的影响。</w:t>
            </w:r>
          </w:p>
          <w:p w14:paraId="7A896A83">
            <w:pPr>
              <w:spacing w:line="360" w:lineRule="auto"/>
              <w:jc w:val="center"/>
              <w:rPr>
                <w:rFonts w:hint="eastAsia" w:ascii="仿宋" w:hAnsi="仿宋" w:eastAsia="仿宋"/>
                <w:sz w:val="24"/>
              </w:rPr>
            </w:pPr>
            <w:r>
              <w:drawing>
                <wp:inline distT="0" distB="0" distL="0" distR="0">
                  <wp:extent cx="2566670" cy="1855470"/>
                  <wp:effectExtent l="0" t="0" r="5080" b="11430"/>
                  <wp:docPr id="15076759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75966" name="drawing"/>
                          <pic:cNvPicPr>
                            <a:picLocks noChangeAspect="1"/>
                          </pic:cNvPicPr>
                        </pic:nvPicPr>
                        <pic:blipFill>
                          <a:blip r:embed="rId11"/>
                          <a:stretch>
                            <a:fillRect/>
                          </a:stretch>
                        </pic:blipFill>
                        <pic:spPr>
                          <a:xfrm>
                            <a:off x="0" y="0"/>
                            <a:ext cx="2566670" cy="1855470"/>
                          </a:xfrm>
                          <a:prstGeom prst="rect">
                            <a:avLst/>
                          </a:prstGeom>
                        </pic:spPr>
                      </pic:pic>
                    </a:graphicData>
                  </a:graphic>
                </wp:inline>
              </w:drawing>
            </w:r>
            <w:r>
              <w:drawing>
                <wp:inline distT="0" distB="0" distL="0" distR="0">
                  <wp:extent cx="2590800" cy="1863725"/>
                  <wp:effectExtent l="0" t="0" r="0" b="3175"/>
                  <wp:docPr id="8128331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33194" name="drawing"/>
                          <pic:cNvPicPr>
                            <a:picLocks noChangeAspect="1"/>
                          </pic:cNvPicPr>
                        </pic:nvPicPr>
                        <pic:blipFill>
                          <a:blip r:embed="rId12"/>
                          <a:stretch>
                            <a:fillRect/>
                          </a:stretch>
                        </pic:blipFill>
                        <pic:spPr>
                          <a:xfrm>
                            <a:off x="0" y="0"/>
                            <a:ext cx="2590800" cy="1863725"/>
                          </a:xfrm>
                          <a:prstGeom prst="rect">
                            <a:avLst/>
                          </a:prstGeom>
                        </pic:spPr>
                      </pic:pic>
                    </a:graphicData>
                  </a:graphic>
                </wp:inline>
              </w:drawing>
            </w:r>
            <w:r>
              <w:rPr>
                <w:rFonts w:ascii="仿宋" w:hAnsi="仿宋" w:eastAsia="仿宋"/>
                <w:sz w:val="24"/>
              </w:rPr>
              <w:t>(a)磁屏蔽层完全覆盖</w:t>
            </w:r>
          </w:p>
          <w:p w14:paraId="162100E7">
            <w:pPr>
              <w:spacing w:line="360" w:lineRule="auto"/>
              <w:jc w:val="center"/>
              <w:rPr>
                <w:rFonts w:hint="eastAsia" w:ascii="仿宋" w:hAnsi="仿宋" w:eastAsia="仿宋"/>
                <w:sz w:val="24"/>
              </w:rPr>
            </w:pPr>
            <w:bookmarkStart w:id="1" w:name="_GoBack"/>
            <w:r>
              <w:drawing>
                <wp:inline distT="0" distB="0" distL="0" distR="0">
                  <wp:extent cx="2612390" cy="1864360"/>
                  <wp:effectExtent l="0" t="0" r="16510" b="2540"/>
                  <wp:docPr id="9992178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17832" name="drawing"/>
                          <pic:cNvPicPr>
                            <a:picLocks noChangeAspect="1"/>
                          </pic:cNvPicPr>
                        </pic:nvPicPr>
                        <pic:blipFill>
                          <a:blip r:embed="rId13"/>
                          <a:stretch>
                            <a:fillRect/>
                          </a:stretch>
                        </pic:blipFill>
                        <pic:spPr>
                          <a:xfrm>
                            <a:off x="0" y="0"/>
                            <a:ext cx="2612390" cy="1864360"/>
                          </a:xfrm>
                          <a:prstGeom prst="rect">
                            <a:avLst/>
                          </a:prstGeom>
                        </pic:spPr>
                      </pic:pic>
                    </a:graphicData>
                  </a:graphic>
                </wp:inline>
              </w:drawing>
            </w:r>
            <w:bookmarkEnd w:id="1"/>
            <w:r>
              <w:drawing>
                <wp:inline distT="0" distB="0" distL="0" distR="0">
                  <wp:extent cx="2548255" cy="1852295"/>
                  <wp:effectExtent l="0" t="0" r="4445" b="14605"/>
                  <wp:docPr id="17040729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72928" name="drawing"/>
                          <pic:cNvPicPr>
                            <a:picLocks noChangeAspect="1"/>
                          </pic:cNvPicPr>
                        </pic:nvPicPr>
                        <pic:blipFill>
                          <a:blip r:embed="rId14"/>
                          <a:stretch>
                            <a:fillRect/>
                          </a:stretch>
                        </pic:blipFill>
                        <pic:spPr>
                          <a:xfrm>
                            <a:off x="0" y="0"/>
                            <a:ext cx="2548255" cy="1852295"/>
                          </a:xfrm>
                          <a:prstGeom prst="rect">
                            <a:avLst/>
                          </a:prstGeom>
                        </pic:spPr>
                      </pic:pic>
                    </a:graphicData>
                  </a:graphic>
                </wp:inline>
              </w:drawing>
            </w:r>
            <w:r>
              <w:rPr>
                <w:rFonts w:ascii="仿宋" w:hAnsi="仿宋" w:eastAsia="仿宋"/>
                <w:sz w:val="24"/>
              </w:rPr>
              <w:t>(b)8条幅覆盖</w:t>
            </w:r>
          </w:p>
          <w:p w14:paraId="01C03420">
            <w:pPr>
              <w:spacing w:line="360" w:lineRule="auto"/>
              <w:jc w:val="center"/>
              <w:rPr>
                <w:rFonts w:hint="eastAsia" w:ascii="仿宋" w:hAnsi="仿宋" w:eastAsia="仿宋"/>
                <w:sz w:val="24"/>
              </w:rPr>
            </w:pPr>
            <w:r>
              <w:rPr>
                <w:rFonts w:ascii="仿宋" w:hAnsi="仿宋" w:eastAsia="仿宋"/>
                <w:sz w:val="24"/>
              </w:rPr>
              <w:t>图组</w:t>
            </w:r>
            <w:bookmarkStart w:id="0" w:name="_Int_KKDrK7Qc"/>
            <w:r>
              <w:rPr>
                <w:rFonts w:ascii="仿宋" w:hAnsi="仿宋" w:eastAsia="仿宋"/>
                <w:sz w:val="24"/>
              </w:rPr>
              <w:t>2 磁</w:t>
            </w:r>
            <w:bookmarkEnd w:id="0"/>
            <w:r>
              <w:rPr>
                <w:rFonts w:ascii="仿宋" w:hAnsi="仿宋" w:eastAsia="仿宋"/>
                <w:sz w:val="24"/>
              </w:rPr>
              <w:t>耦合机构在不同磁屏蔽层结构下的磁场分布对比云图</w:t>
            </w:r>
          </w:p>
          <w:p w14:paraId="14271254">
            <w:pPr>
              <w:spacing w:line="360" w:lineRule="auto"/>
              <w:rPr>
                <w:rFonts w:hint="eastAsia" w:ascii="仿宋" w:hAnsi="仿宋" w:eastAsia="仿宋"/>
                <w:sz w:val="24"/>
              </w:rPr>
            </w:pPr>
            <w:r>
              <w:rPr>
                <w:rFonts w:ascii="仿宋" w:hAnsi="仿宋" w:eastAsia="仿宋"/>
                <w:sz w:val="24"/>
              </w:rPr>
              <w:t>目前仿真的主要目的，是明确磁耦合机构在不同偏移情况下对磁场分布的影响规律，以及不同磁屏蔽层结构对磁场调控效果的差异，为后续寻找最优磁屏蔽层结构提供依据，并为偏移工况下控制算法或补偿策略的调整开展前置性研究。仿真结果表明，磁耦合机构发生偏移后会改变系统的互感值，使原有谐振网络参数不再完全匹配，从而导致谐振网络失谐，这也是后续优化设计和算法修正需要重点考虑的问题</w:t>
            </w:r>
          </w:p>
          <w:p w14:paraId="45D89B06">
            <w:pPr>
              <w:spacing w:line="360" w:lineRule="auto"/>
            </w:pPr>
          </w:p>
          <w:p w14:paraId="373B4A3E">
            <w:pPr>
              <w:spacing w:line="360" w:lineRule="auto"/>
            </w:pPr>
            <w:r>
              <w:rPr>
                <w:rFonts w:ascii="仿宋" w:hAnsi="仿宋" w:eastAsia="仿宋"/>
                <w:sz w:val="24"/>
              </w:rPr>
              <w:t>3. 第一版样机实现了母线60W功率输入、输出端30W功率输出的基本能量传输功能验证，系统效率约50%。</w:t>
            </w:r>
          </w:p>
          <w:p w14:paraId="789BF6B4">
            <w:pPr>
              <w:spacing w:line="360" w:lineRule="auto"/>
            </w:pPr>
            <w:r>
              <w:rPr>
                <w:rFonts w:ascii="仿宋" w:hAnsi="仿宋" w:eastAsia="仿宋"/>
                <w:sz w:val="24"/>
              </w:rPr>
              <w:t>4. 通过第一版的问题分析与复盘，形成了系统性的优化方案，指导了第二版的全面升级。</w:t>
            </w:r>
          </w:p>
          <w:p w14:paraId="1254417E">
            <w:pPr>
              <w:spacing w:line="360" w:lineRule="auto"/>
              <w:rPr>
                <w:rFonts w:hint="eastAsia" w:ascii="仿宋" w:hAnsi="仿宋" w:eastAsia="仿宋"/>
                <w:sz w:val="24"/>
              </w:rPr>
            </w:pPr>
            <w:r>
              <w:rPr>
                <w:rFonts w:ascii="仿宋" w:hAnsi="仿宋" w:eastAsia="仿宋"/>
                <w:sz w:val="24"/>
              </w:rPr>
              <w:t>5. 第二版在MCU平台（F103→F334）、拓扑架构（加入BOOST升压）、线圈方案（手绕+铁氧体）、FOD检测（Q值衰减法）、整流方案（混合整流）、代码架构（FreeRTOS）等多个维度实现了全面升级。</w:t>
            </w:r>
          </w:p>
          <w:p w14:paraId="4E52E6D5">
            <w:pPr>
              <w:spacing w:line="360" w:lineRule="auto"/>
            </w:pPr>
            <w:r>
              <w:drawing>
                <wp:inline distT="0" distB="0" distL="0" distR="0">
                  <wp:extent cx="5242560" cy="3702685"/>
                  <wp:effectExtent l="0" t="0" r="0" b="0"/>
                  <wp:docPr id="1752561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61104" name="图片 1"/>
                          <pic:cNvPicPr>
                            <a:picLocks noChangeAspect="1"/>
                          </pic:cNvPicPr>
                        </pic:nvPicPr>
                        <pic:blipFill>
                          <a:blip r:embed="rId15"/>
                          <a:stretch>
                            <a:fillRect/>
                          </a:stretch>
                        </pic:blipFill>
                        <pic:spPr>
                          <a:xfrm>
                            <a:off x="0" y="0"/>
                            <a:ext cx="5242560" cy="3702685"/>
                          </a:xfrm>
                          <a:prstGeom prst="rect">
                            <a:avLst/>
                          </a:prstGeom>
                        </pic:spPr>
                      </pic:pic>
                    </a:graphicData>
                  </a:graphic>
                </wp:inline>
              </w:drawing>
            </w:r>
          </w:p>
          <w:p w14:paraId="65BF40A9">
            <w:pPr>
              <w:spacing w:line="360" w:lineRule="auto"/>
              <w:jc w:val="center"/>
            </w:pPr>
            <w:r>
              <w:rPr>
                <w:rFonts w:ascii="仿宋" w:hAnsi="仿宋" w:eastAsia="仿宋"/>
                <w:sz w:val="24"/>
              </w:rPr>
              <w:t>(</w:t>
            </w:r>
            <w:r>
              <w:rPr>
                <w:rFonts w:hint="eastAsia" w:ascii="仿宋" w:hAnsi="仿宋" w:eastAsia="仿宋"/>
                <w:sz w:val="24"/>
              </w:rPr>
              <w:t>a</w:t>
            </w:r>
            <w:r>
              <w:rPr>
                <w:rFonts w:ascii="仿宋" w:hAnsi="仿宋" w:eastAsia="仿宋"/>
                <w:sz w:val="24"/>
              </w:rPr>
              <w:t>)</w:t>
            </w:r>
            <w:r>
              <w:rPr>
                <w:rFonts w:hint="eastAsia" w:ascii="仿宋" w:hAnsi="仿宋" w:eastAsia="仿宋"/>
                <w:sz w:val="24"/>
              </w:rPr>
              <w:t>主控原理图</w:t>
            </w:r>
            <w:r>
              <w:drawing>
                <wp:inline distT="0" distB="0" distL="0" distR="0">
                  <wp:extent cx="2926080" cy="5197475"/>
                  <wp:effectExtent l="7302" t="0" r="0" b="0"/>
                  <wp:docPr id="646238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38017" name="图片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rot="5400000">
                            <a:off x="0" y="0"/>
                            <a:ext cx="2939445" cy="5221438"/>
                          </a:xfrm>
                          <a:prstGeom prst="rect">
                            <a:avLst/>
                          </a:prstGeom>
                          <a:noFill/>
                          <a:ln>
                            <a:noFill/>
                          </a:ln>
                        </pic:spPr>
                      </pic:pic>
                    </a:graphicData>
                  </a:graphic>
                </wp:inline>
              </w:drawing>
            </w:r>
          </w:p>
          <w:p w14:paraId="227BFD48">
            <w:pPr>
              <w:spacing w:line="360" w:lineRule="auto"/>
              <w:jc w:val="center"/>
            </w:pPr>
            <w:r>
              <w:rPr>
                <w:rFonts w:ascii="仿宋" w:hAnsi="仿宋" w:eastAsia="仿宋"/>
                <w:sz w:val="24"/>
              </w:rPr>
              <w:t>(b)</w:t>
            </w:r>
            <w:r>
              <w:rPr>
                <w:rFonts w:hint="eastAsia" w:ascii="仿宋" w:hAnsi="仿宋" w:eastAsia="仿宋"/>
                <w:sz w:val="24"/>
              </w:rPr>
              <w:t>第二版实物</w:t>
            </w:r>
          </w:p>
          <w:p w14:paraId="45613A0B">
            <w:pPr>
              <w:spacing w:line="360" w:lineRule="auto"/>
              <w:rPr>
                <w:rFonts w:hint="eastAsia" w:ascii="仿宋" w:hAnsi="仿宋" w:eastAsia="仿宋"/>
                <w:sz w:val="24"/>
              </w:rPr>
            </w:pPr>
            <w:r>
              <w:rPr>
                <w:rFonts w:ascii="仿宋" w:hAnsi="仿宋" w:eastAsia="仿宋"/>
                <w:sz w:val="24"/>
              </w:rPr>
              <w:t>6. 基于FreeRTOS的模块化嵌入式代码已完成框架搭建与基础功能验证，具备PWM控制、ADC采样、FOD检测、系统保护等多任务并行运行能力。</w:t>
            </w:r>
          </w:p>
          <w:p w14:paraId="666CCDEF">
            <w:pPr>
              <w:spacing w:line="360" w:lineRule="auto"/>
              <w:jc w:val="center"/>
            </w:pPr>
            <w:r>
              <w:drawing>
                <wp:inline distT="0" distB="0" distL="0" distR="0">
                  <wp:extent cx="4429125" cy="2207260"/>
                  <wp:effectExtent l="0" t="0" r="0" b="2540"/>
                  <wp:docPr id="7897690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69083" name="图片 1"/>
                          <pic:cNvPicPr>
                            <a:picLocks noChangeAspect="1"/>
                          </pic:cNvPicPr>
                        </pic:nvPicPr>
                        <pic:blipFill>
                          <a:blip r:embed="rId17"/>
                          <a:stretch>
                            <a:fillRect/>
                          </a:stretch>
                        </pic:blipFill>
                        <pic:spPr>
                          <a:xfrm>
                            <a:off x="0" y="0"/>
                            <a:ext cx="4445270" cy="2215360"/>
                          </a:xfrm>
                          <a:prstGeom prst="rect">
                            <a:avLst/>
                          </a:prstGeom>
                        </pic:spPr>
                      </pic:pic>
                    </a:graphicData>
                  </a:graphic>
                </wp:inline>
              </w:drawing>
            </w:r>
          </w:p>
          <w:p w14:paraId="345A9AEE">
            <w:pPr>
              <w:spacing w:line="360" w:lineRule="auto"/>
              <w:jc w:val="center"/>
            </w:pPr>
            <w:r>
              <w:rPr>
                <w:rFonts w:ascii="仿宋" w:hAnsi="仿宋" w:eastAsia="仿宋"/>
                <w:sz w:val="24"/>
              </w:rPr>
              <w:t>(</w:t>
            </w:r>
            <w:r>
              <w:rPr>
                <w:rFonts w:hint="eastAsia" w:ascii="仿宋" w:hAnsi="仿宋" w:eastAsia="仿宋"/>
                <w:sz w:val="24"/>
              </w:rPr>
              <w:t>a</w:t>
            </w:r>
            <w:r>
              <w:rPr>
                <w:rFonts w:ascii="仿宋" w:hAnsi="仿宋" w:eastAsia="仿宋"/>
                <w:sz w:val="24"/>
              </w:rPr>
              <w:t>)</w:t>
            </w:r>
            <w:r>
              <w:rPr>
                <w:rFonts w:hint="eastAsia" w:ascii="仿宋" w:hAnsi="仿宋" w:eastAsia="仿宋"/>
                <w:sz w:val="24"/>
              </w:rPr>
              <w:t>FreeRTOS任务</w:t>
            </w:r>
          </w:p>
          <w:p w14:paraId="56C1D90F">
            <w:pPr>
              <w:spacing w:line="360" w:lineRule="auto"/>
              <w:jc w:val="center"/>
            </w:pPr>
            <w:r>
              <w:drawing>
                <wp:inline distT="0" distB="0" distL="0" distR="0">
                  <wp:extent cx="4405630" cy="2286000"/>
                  <wp:effectExtent l="0" t="0" r="0" b="0"/>
                  <wp:docPr id="976398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9876" name="图片 1"/>
                          <pic:cNvPicPr>
                            <a:picLocks noChangeAspect="1"/>
                          </pic:cNvPicPr>
                        </pic:nvPicPr>
                        <pic:blipFill>
                          <a:blip r:embed="rId18"/>
                          <a:stretch>
                            <a:fillRect/>
                          </a:stretch>
                        </pic:blipFill>
                        <pic:spPr>
                          <a:xfrm>
                            <a:off x="0" y="0"/>
                            <a:ext cx="4420302" cy="2293498"/>
                          </a:xfrm>
                          <a:prstGeom prst="rect">
                            <a:avLst/>
                          </a:prstGeom>
                        </pic:spPr>
                      </pic:pic>
                    </a:graphicData>
                  </a:graphic>
                </wp:inline>
              </w:drawing>
            </w:r>
          </w:p>
          <w:p w14:paraId="0C3E11D3">
            <w:pPr>
              <w:spacing w:line="360" w:lineRule="auto"/>
              <w:jc w:val="center"/>
              <w:rPr>
                <w:rFonts w:hint="eastAsia" w:ascii="仿宋" w:hAnsi="仿宋" w:eastAsia="仿宋"/>
                <w:sz w:val="24"/>
              </w:rPr>
            </w:pPr>
            <w:r>
              <w:rPr>
                <w:rFonts w:ascii="仿宋" w:hAnsi="仿宋" w:eastAsia="仿宋"/>
                <w:sz w:val="24"/>
              </w:rPr>
              <w:t>(b)</w:t>
            </w:r>
            <w:r>
              <w:rPr>
                <w:rFonts w:hint="eastAsia" w:ascii="仿宋" w:hAnsi="仿宋" w:eastAsia="仿宋"/>
                <w:sz w:val="24"/>
              </w:rPr>
              <w:t>ADC读取</w:t>
            </w:r>
          </w:p>
          <w:p w14:paraId="76690208">
            <w:pPr>
              <w:spacing w:line="360" w:lineRule="auto"/>
              <w:jc w:val="center"/>
            </w:pPr>
            <w:r>
              <w:drawing>
                <wp:inline distT="0" distB="0" distL="0" distR="0">
                  <wp:extent cx="4414520" cy="2533015"/>
                  <wp:effectExtent l="0" t="0" r="5080" b="635"/>
                  <wp:docPr id="4016227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22766" name="图片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441488" cy="2548725"/>
                          </a:xfrm>
                          <a:prstGeom prst="rect">
                            <a:avLst/>
                          </a:prstGeom>
                          <a:noFill/>
                          <a:ln>
                            <a:noFill/>
                          </a:ln>
                        </pic:spPr>
                      </pic:pic>
                    </a:graphicData>
                  </a:graphic>
                </wp:inline>
              </w:drawing>
            </w:r>
          </w:p>
          <w:p w14:paraId="10ECDD09">
            <w:pPr>
              <w:spacing w:line="360" w:lineRule="auto"/>
              <w:jc w:val="center"/>
              <w:rPr>
                <w:rFonts w:hint="eastAsia" w:ascii="仿宋" w:hAnsi="仿宋" w:eastAsia="仿宋"/>
                <w:sz w:val="24"/>
              </w:rPr>
            </w:pPr>
            <w:r>
              <w:rPr>
                <w:rFonts w:ascii="仿宋" w:hAnsi="仿宋" w:eastAsia="仿宋"/>
                <w:sz w:val="24"/>
              </w:rPr>
              <w:t>(</w:t>
            </w:r>
            <w:r>
              <w:rPr>
                <w:rFonts w:hint="eastAsia" w:ascii="仿宋" w:hAnsi="仿宋" w:eastAsia="仿宋"/>
                <w:sz w:val="24"/>
              </w:rPr>
              <w:t>c</w:t>
            </w:r>
            <w:r>
              <w:rPr>
                <w:rFonts w:ascii="仿宋" w:hAnsi="仿宋" w:eastAsia="仿宋"/>
                <w:sz w:val="24"/>
              </w:rPr>
              <w:t>)</w:t>
            </w:r>
            <w:r>
              <w:rPr>
                <w:rFonts w:hint="eastAsia" w:ascii="仿宋" w:hAnsi="仿宋" w:eastAsia="仿宋"/>
                <w:sz w:val="24"/>
              </w:rPr>
              <w:t>三路ADCdebug</w:t>
            </w:r>
          </w:p>
          <w:p w14:paraId="4D8DD989">
            <w:pPr>
              <w:spacing w:line="360" w:lineRule="auto"/>
              <w:rPr>
                <w:rFonts w:ascii="仿宋" w:hAnsi="仿宋" w:eastAsia="仿宋"/>
                <w:sz w:val="24"/>
              </w:rPr>
            </w:pPr>
          </w:p>
          <w:p w14:paraId="6FB78AE9">
            <w:pPr>
              <w:spacing w:line="360" w:lineRule="auto"/>
              <w:rPr>
                <w:rFonts w:ascii="仿宋" w:hAnsi="仿宋" w:eastAsia="仿宋"/>
                <w:sz w:val="24"/>
              </w:rPr>
            </w:pPr>
          </w:p>
          <w:p w14:paraId="2FF9165C">
            <w:pPr>
              <w:spacing w:line="360" w:lineRule="auto"/>
              <w:rPr>
                <w:rFonts w:hint="eastAsia" w:ascii="仿宋" w:hAnsi="仿宋" w:eastAsia="仿宋"/>
                <w:sz w:val="24"/>
              </w:rPr>
            </w:pPr>
            <w:r>
              <w:rPr>
                <w:rFonts w:hint="eastAsia" w:ascii="仿宋" w:hAnsi="仿宋" w:eastAsia="仿宋"/>
                <w:sz w:val="24"/>
              </w:rPr>
              <w:t>7.</w:t>
            </w:r>
            <w:r>
              <w:rPr>
                <w:rFonts w:ascii="仿宋" w:hAnsi="仿宋" w:eastAsia="仿宋"/>
                <w:sz w:val="24"/>
              </w:rPr>
              <w:t>提出并实现适用于无线充电接收端的混合全桥整流结构</w:t>
            </w:r>
            <w:r>
              <w:rPr>
                <w:rFonts w:hint="eastAsia" w:ascii="仿宋" w:hAnsi="仿宋" w:eastAsia="仿宋"/>
                <w:sz w:val="24"/>
              </w:rPr>
              <w:t>。</w:t>
            </w:r>
          </w:p>
          <w:p w14:paraId="52345742">
            <w:pPr>
              <w:spacing w:line="360" w:lineRule="auto"/>
              <w:rPr>
                <w:rFonts w:ascii="仿宋" w:hAnsi="仿宋" w:eastAsia="仿宋"/>
                <w:sz w:val="24"/>
              </w:rPr>
            </w:pPr>
            <w:r>
              <w:rPr>
                <w:rFonts w:ascii="仿宋" w:hAnsi="仿宋" w:eastAsia="仿宋"/>
                <w:sz w:val="24"/>
              </w:rPr>
              <w:drawing>
                <wp:anchor distT="0" distB="0" distL="114300" distR="114300" simplePos="0" relativeHeight="251659264" behindDoc="0" locked="0" layoutInCell="1" allowOverlap="1">
                  <wp:simplePos x="0" y="0"/>
                  <wp:positionH relativeFrom="column">
                    <wp:posOffset>-44450</wp:posOffset>
                  </wp:positionH>
                  <wp:positionV relativeFrom="paragraph">
                    <wp:posOffset>2373630</wp:posOffset>
                  </wp:positionV>
                  <wp:extent cx="5269230" cy="2466975"/>
                  <wp:effectExtent l="0" t="0" r="7620" b="9525"/>
                  <wp:wrapSquare wrapText="bothSides"/>
                  <wp:docPr id="913972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72728" name="图片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269230" cy="2466975"/>
                          </a:xfrm>
                          <a:prstGeom prst="rect">
                            <a:avLst/>
                          </a:prstGeom>
                          <a:noFill/>
                          <a:ln>
                            <a:noFill/>
                          </a:ln>
                        </pic:spPr>
                      </pic:pic>
                    </a:graphicData>
                  </a:graphic>
                </wp:anchor>
              </w:drawing>
            </w:r>
            <w:r>
              <w:rPr>
                <w:rFonts w:ascii="仿宋" w:hAnsi="仿宋" w:eastAsia="仿宋"/>
                <w:sz w:val="24"/>
              </w:rPr>
              <w:t>在整流桥中引入“二极管 + 受控开关”的混合拓扑，在不显著提高系统复杂度的前提下提高能量转换效率。相较传统全二极管整流，显著降低导通损耗与温升：通过在关键导通支路使用低导通电阻器件，减小大电流下的压降损耗，提高接收端可用直流功率。相较全同步整流，控制与调试难度更低、鲁棒性更强：利用二极管天然换相特性，在耦合变化、频率偏移、负载突变等无线链路不确定条件下仍可保持稳定整流行为，降低误导通、反灌与直通等风险。系统级收益明显：整流输出更有利于后级DC/DC模块稳定工作，提升整体效率与可靠性，有利于项目的工程实现。</w:t>
            </w:r>
          </w:p>
          <w:p w14:paraId="79137C10">
            <w:pPr>
              <w:spacing w:line="360" w:lineRule="auto"/>
              <w:jc w:val="center"/>
              <w:rPr>
                <w:rFonts w:ascii="仿宋" w:hAnsi="仿宋" w:eastAsia="仿宋"/>
                <w:sz w:val="24"/>
              </w:rPr>
            </w:pPr>
            <w:r>
              <w:rPr>
                <w:rFonts w:ascii="仿宋" w:hAnsi="仿宋" w:eastAsia="仿宋"/>
                <w:sz w:val="24"/>
              </w:rPr>
              <w:t>(</w:t>
            </w:r>
            <w:r>
              <w:rPr>
                <w:rFonts w:hint="eastAsia" w:ascii="仿宋" w:hAnsi="仿宋" w:eastAsia="仿宋"/>
                <w:sz w:val="24"/>
              </w:rPr>
              <w:t>a</w:t>
            </w:r>
            <w:r>
              <w:rPr>
                <w:rFonts w:ascii="仿宋" w:hAnsi="仿宋" w:eastAsia="仿宋"/>
                <w:sz w:val="24"/>
              </w:rPr>
              <w:t>)</w:t>
            </w:r>
            <w:r>
              <w:rPr>
                <w:rFonts w:hint="eastAsia" w:ascii="仿宋" w:hAnsi="仿宋" w:eastAsia="仿宋"/>
                <w:sz w:val="24"/>
              </w:rPr>
              <w:t>接收端整流原理图</w:t>
            </w:r>
          </w:p>
          <w:p w14:paraId="5AAFE210">
            <w:pPr>
              <w:spacing w:line="360" w:lineRule="auto"/>
              <w:rPr>
                <w:rFonts w:ascii="仿宋" w:hAnsi="仿宋" w:eastAsia="仿宋"/>
                <w:sz w:val="24"/>
              </w:rPr>
            </w:pPr>
            <w:r>
              <w:rPr>
                <w:rFonts w:hint="eastAsia" w:ascii="仿宋" w:hAnsi="仿宋" w:eastAsia="仿宋"/>
                <w:sz w:val="24"/>
              </w:rPr>
              <w:t>8</w:t>
            </w:r>
            <w:r>
              <w:rPr>
                <w:rFonts w:ascii="仿宋" w:hAnsi="仿宋" w:eastAsia="仿宋"/>
                <w:sz w:val="24"/>
              </w:rPr>
              <w:t>. 第二版PCB已完成设计与打样，实物焊接和调试正在推进中。</w:t>
            </w:r>
          </w:p>
          <w:p w14:paraId="635A5B08">
            <w:pPr>
              <w:spacing w:line="360" w:lineRule="auto"/>
              <w:rPr>
                <w:rFonts w:ascii="仿宋" w:hAnsi="仿宋" w:eastAsia="仿宋"/>
                <w:sz w:val="24"/>
              </w:rPr>
            </w:pPr>
          </w:p>
          <w:p w14:paraId="225452BD">
            <w:pPr>
              <w:spacing w:line="360" w:lineRule="auto"/>
              <w:rPr>
                <w:rFonts w:ascii="仿宋" w:hAnsi="仿宋" w:eastAsia="仿宋"/>
                <w:sz w:val="24"/>
              </w:rPr>
            </w:pPr>
          </w:p>
          <w:p w14:paraId="77EB4336">
            <w:pPr>
              <w:spacing w:line="360" w:lineRule="auto"/>
              <w:rPr>
                <w:rFonts w:ascii="仿宋" w:hAnsi="仿宋" w:eastAsia="仿宋"/>
                <w:sz w:val="24"/>
              </w:rPr>
            </w:pPr>
          </w:p>
          <w:p w14:paraId="6973D457">
            <w:pPr>
              <w:spacing w:line="360" w:lineRule="auto"/>
              <w:rPr>
                <w:rFonts w:ascii="仿宋" w:hAnsi="仿宋" w:eastAsia="仿宋"/>
                <w:sz w:val="24"/>
              </w:rPr>
            </w:pPr>
          </w:p>
          <w:p w14:paraId="49FCCBEF">
            <w:pPr>
              <w:spacing w:line="360" w:lineRule="auto"/>
              <w:rPr>
                <w:rFonts w:ascii="仿宋" w:hAnsi="仿宋" w:eastAsia="仿宋"/>
                <w:sz w:val="24"/>
              </w:rPr>
            </w:pPr>
          </w:p>
          <w:p w14:paraId="65223CA4">
            <w:pPr>
              <w:spacing w:line="360" w:lineRule="auto"/>
              <w:rPr>
                <w:rFonts w:ascii="仿宋" w:hAnsi="仿宋" w:eastAsia="仿宋"/>
                <w:sz w:val="24"/>
              </w:rPr>
            </w:pPr>
          </w:p>
          <w:p w14:paraId="7B3E21F2">
            <w:pPr>
              <w:spacing w:line="360" w:lineRule="auto"/>
              <w:rPr>
                <w:rFonts w:ascii="仿宋" w:hAnsi="仿宋" w:eastAsia="仿宋"/>
                <w:sz w:val="24"/>
              </w:rPr>
            </w:pPr>
          </w:p>
          <w:p w14:paraId="09799896">
            <w:pPr>
              <w:spacing w:line="360" w:lineRule="auto"/>
              <w:rPr>
                <w:rFonts w:ascii="仿宋" w:hAnsi="仿宋" w:eastAsia="仿宋"/>
                <w:sz w:val="24"/>
              </w:rPr>
            </w:pPr>
          </w:p>
          <w:p w14:paraId="4C6357C2">
            <w:pPr>
              <w:spacing w:line="360" w:lineRule="auto"/>
              <w:rPr>
                <w:rFonts w:ascii="仿宋" w:hAnsi="仿宋" w:eastAsia="仿宋"/>
                <w:sz w:val="24"/>
              </w:rPr>
            </w:pPr>
          </w:p>
          <w:p w14:paraId="3DFC8579">
            <w:pPr>
              <w:spacing w:line="360" w:lineRule="auto"/>
              <w:rPr>
                <w:rFonts w:hint="eastAsia" w:ascii="仿宋" w:hAnsi="仿宋" w:eastAsia="仿宋"/>
                <w:sz w:val="24"/>
              </w:rPr>
            </w:pPr>
          </w:p>
        </w:tc>
      </w:tr>
      <w:tr w14:paraId="793D9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8463" w:type="dxa"/>
            <w:gridSpan w:val="7"/>
            <w:tcBorders>
              <w:top w:val="single" w:color="auto" w:sz="4" w:space="0"/>
              <w:left w:val="single" w:color="auto" w:sz="4" w:space="0"/>
              <w:bottom w:val="single" w:color="auto" w:sz="4" w:space="0"/>
              <w:right w:val="single" w:color="auto" w:sz="4" w:space="0"/>
            </w:tcBorders>
            <w:vAlign w:val="center"/>
          </w:tcPr>
          <w:p w14:paraId="6215CBF0">
            <w:pPr>
              <w:spacing w:before="120" w:after="60" w:line="360" w:lineRule="auto"/>
              <w:rPr>
                <w:rFonts w:ascii="仿宋_GB2312" w:eastAsia="仿宋_GB2312"/>
                <w:sz w:val="24"/>
              </w:rPr>
            </w:pPr>
            <w:r>
              <w:rPr>
                <w:rFonts w:hint="eastAsia" w:ascii="仿宋" w:hAnsi="仿宋" w:eastAsia="仿宋"/>
                <w:b/>
                <w:sz w:val="28"/>
              </w:rPr>
              <w:t>四、项目日常运作情况（项目的组织管理，成员的合作和工作日志的填写等）</w:t>
            </w:r>
          </w:p>
        </w:tc>
      </w:tr>
      <w:tr w14:paraId="22C63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0" w:hRule="atLeast"/>
        </w:trPr>
        <w:tc>
          <w:tcPr>
            <w:tcW w:w="8463" w:type="dxa"/>
            <w:gridSpan w:val="7"/>
            <w:tcBorders>
              <w:top w:val="single" w:color="auto" w:sz="4" w:space="0"/>
              <w:left w:val="single" w:color="auto" w:sz="4" w:space="0"/>
              <w:bottom w:val="single" w:color="auto" w:sz="4" w:space="0"/>
              <w:right w:val="single" w:color="auto" w:sz="4" w:space="0"/>
            </w:tcBorders>
            <w:vAlign w:val="center"/>
          </w:tcPr>
          <w:p w14:paraId="616BB8BF">
            <w:pPr>
              <w:spacing w:before="120" w:after="60" w:line="360" w:lineRule="auto"/>
              <w:rPr>
                <w:rFonts w:ascii="仿宋_GB2312" w:eastAsia="仿宋_GB2312"/>
                <w:color w:val="000000" w:themeColor="text1"/>
                <w:sz w:val="24"/>
                <w14:textFill>
                  <w14:solidFill>
                    <w14:schemeClr w14:val="tx1"/>
                  </w14:solidFill>
                </w14:textFill>
              </w:rPr>
            </w:pPr>
            <w:r>
              <w:rPr>
                <w:rFonts w:ascii="仿宋" w:hAnsi="仿宋" w:eastAsia="仿宋"/>
                <w:b/>
                <w:sz w:val="28"/>
              </w:rPr>
              <w:t>组织管理与工作机制</w:t>
            </w:r>
            <w:r>
              <w:rPr>
                <w:rFonts w:ascii="仿宋" w:hAnsi="仿宋" w:eastAsia="仿宋"/>
                <w:sz w:val="24"/>
              </w:rPr>
              <w:br w:type="textWrapping"/>
            </w:r>
            <w:r>
              <w:rPr>
                <w:rFonts w:ascii="仿宋" w:hAnsi="仿宋" w:eastAsia="仿宋"/>
                <w:sz w:val="24"/>
              </w:rPr>
              <w:t>项目采用"小组负责制 + 例会复盘"的方式组织推进。三名成员在共同完成文献阅读与方案讨论的基础上，按照电路、磁路、装配测试三个方向分工负责，同时通过阶段节点的集中评审确保系统级一致性。当前项目日常推进机制主要包括：</w:t>
            </w:r>
            <w:r>
              <w:rPr>
                <w:rFonts w:ascii="仿宋" w:hAnsi="仿宋" w:eastAsia="仿宋"/>
                <w:sz w:val="24"/>
              </w:rPr>
              <w:br w:type="textWrapping"/>
            </w:r>
            <w:r>
              <w:rPr>
                <w:rFonts w:ascii="仿宋" w:hAnsi="仿宋" w:eastAsia="仿宋"/>
                <w:sz w:val="24"/>
              </w:rPr>
              <w:t>周期性讨论：以每周/每两周为周期进行一次集中讨论，汇总本周期完成事项、存在问题与下阶段计划；</w:t>
            </w:r>
            <w:r>
              <w:rPr>
                <w:rFonts w:ascii="仿宋" w:hAnsi="仿宋" w:eastAsia="仿宋"/>
                <w:sz w:val="24"/>
              </w:rPr>
              <w:br w:type="textWrapping"/>
            </w:r>
            <w:r>
              <w:rPr>
                <w:rFonts w:ascii="仿宋" w:hAnsi="仿宋" w:eastAsia="仿宋"/>
                <w:sz w:val="24"/>
              </w:rPr>
              <w:t>节点评审：在"设计定稿—下单加工—回板焊接—上电测试—数据复盘"等关键节点安排专项讨论，确保硬件迭代风险可控；</w:t>
            </w:r>
            <w:r>
              <w:rPr>
                <w:rFonts w:ascii="仿宋" w:hAnsi="仿宋" w:eastAsia="仿宋"/>
                <w:sz w:val="24"/>
              </w:rPr>
              <w:br w:type="textWrapping"/>
            </w:r>
            <w:r>
              <w:rPr>
                <w:rFonts w:ascii="仿宋" w:hAnsi="仿宋" w:eastAsia="仿宋"/>
                <w:sz w:val="24"/>
              </w:rPr>
              <w:t>问题闭环：对测试异常采取"现象记录—排查路径—结论归因—修改措施—复测验证"的闭环流程，避免仅凭经验直接更改导致重复试错。</w:t>
            </w:r>
          </w:p>
          <w:p w14:paraId="199D9D1D">
            <w:pPr>
              <w:spacing w:before="120" w:after="60" w:line="360" w:lineRule="auto"/>
            </w:pPr>
            <w:r>
              <w:rPr>
                <w:rFonts w:ascii="仿宋" w:hAnsi="仿宋" w:eastAsia="仿宋"/>
                <w:b/>
                <w:sz w:val="28"/>
              </w:rPr>
              <w:t>成员合作与分工落实情况</w:t>
            </w:r>
            <w:r>
              <w:rPr>
                <w:rFonts w:ascii="仿宋" w:hAnsi="仿宋" w:eastAsia="仿宋"/>
                <w:sz w:val="24"/>
              </w:rPr>
              <w:br w:type="textWrapping"/>
            </w:r>
            <w:r>
              <w:rPr>
                <w:rFonts w:ascii="仿宋" w:hAnsi="仿宋" w:eastAsia="仿宋"/>
                <w:sz w:val="24"/>
              </w:rPr>
              <w:t>项目组成员分工与协作较为明确，并能根据迭代需要动态调整：</w:t>
            </w:r>
            <w:r>
              <w:rPr>
                <w:rFonts w:ascii="仿宋" w:hAnsi="仿宋" w:eastAsia="仿宋"/>
                <w:sz w:val="24"/>
              </w:rPr>
              <w:br w:type="textWrapping"/>
            </w:r>
            <w:r>
              <w:rPr>
                <w:rFonts w:ascii="仿宋" w:hAnsi="仿宋" w:eastAsia="仿宋"/>
                <w:sz w:val="24"/>
              </w:rPr>
              <w:t>严禹：负责互感线圈制作、磁学部分理论学习与仿真验证（含磁芯/屏蔽材料调研），在第二版迭代中完成利兹线线圈制作，并推进磁芯方案总结与测试准备。</w:t>
            </w:r>
            <w:r>
              <w:rPr>
                <w:rFonts w:ascii="仿宋" w:hAnsi="仿宋" w:eastAsia="仿宋"/>
                <w:sz w:val="24"/>
              </w:rPr>
              <w:br w:type="textWrapping"/>
            </w:r>
            <w:r>
              <w:rPr>
                <w:rFonts w:ascii="仿宋" w:hAnsi="仿宋" w:eastAsia="仿宋"/>
                <w:sz w:val="24"/>
              </w:rPr>
              <w:t>邓小军：负责无线充电发射端总体电路方案与PCB设计，第二版迭代中提出并落实48V输入平台（新增升压）与发射端电路重设计，同时牵头推进大电流走线与器件选型优化。</w:t>
            </w:r>
            <w:r>
              <w:rPr>
                <w:rFonts w:ascii="仿宋" w:hAnsi="仿宋" w:eastAsia="仿宋"/>
                <w:sz w:val="24"/>
              </w:rPr>
              <w:br w:type="textWrapping"/>
            </w:r>
            <w:r>
              <w:rPr>
                <w:rFonts w:ascii="仿宋" w:hAnsi="仿宋" w:eastAsia="仿宋"/>
                <w:sz w:val="24"/>
              </w:rPr>
              <w:t>王义辰：负责PCB焊接、后级输出对接以及接收端电路/PCB重绘工作，第二版迭代中完成整流方式升级方案的学习与实现（混合整流），并配合整体联调与问题排查。</w:t>
            </w:r>
            <w:r>
              <w:rPr>
                <w:rFonts w:ascii="仿宋" w:hAnsi="仿宋" w:eastAsia="仿宋"/>
                <w:sz w:val="24"/>
              </w:rPr>
              <w:br w:type="textWrapping"/>
            </w:r>
            <w:r>
              <w:rPr>
                <w:rFonts w:ascii="仿宋" w:hAnsi="仿宋" w:eastAsia="仿宋"/>
                <w:sz w:val="24"/>
              </w:rPr>
              <w:t>在系统联调阶段，三名成员共同参与测试平台搭建与数据记录，确保电路、磁路与结构三方面参数能够对应到同一组实验条件，提升实验可重复性。</w:t>
            </w:r>
          </w:p>
          <w:p w14:paraId="4EA12F16">
            <w:pPr>
              <w:spacing w:before="120" w:after="60" w:line="360" w:lineRule="auto"/>
            </w:pPr>
            <w:r>
              <w:rPr>
                <w:rFonts w:ascii="仿宋" w:hAnsi="仿宋" w:eastAsia="仿宋"/>
                <w:b/>
                <w:sz w:val="28"/>
              </w:rPr>
              <w:t>工作日志与过程记录</w:t>
            </w:r>
            <w:r>
              <w:rPr>
                <w:rFonts w:ascii="仿宋" w:hAnsi="仿宋" w:eastAsia="仿宋"/>
                <w:sz w:val="24"/>
              </w:rPr>
              <w:br w:type="textWrapping"/>
            </w:r>
            <w:r>
              <w:rPr>
                <w:rFonts w:ascii="仿宋" w:hAnsi="仿宋" w:eastAsia="仿宋"/>
                <w:sz w:val="24"/>
              </w:rPr>
              <w:t>项目组重视过程化记录，主要记录方式包括：</w:t>
            </w:r>
            <w:r>
              <w:rPr>
                <w:rFonts w:ascii="仿宋" w:hAnsi="仿宋" w:eastAsia="仿宋"/>
                <w:sz w:val="24"/>
              </w:rPr>
              <w:br w:type="textWrapping"/>
            </w:r>
            <w:r>
              <w:rPr>
                <w:rFonts w:ascii="仿宋" w:hAnsi="仿宋" w:eastAsia="仿宋"/>
                <w:sz w:val="24"/>
              </w:rPr>
              <w:t>设计文档与版本管理：对原理图/PCB版本修改点进行条目化记录（如第二版修改的走线形状、板层数调整、全桥连接修正等），便于回溯与对比；</w:t>
            </w:r>
            <w:r>
              <w:rPr>
                <w:rFonts w:ascii="仿宋" w:hAnsi="仿宋" w:eastAsia="仿宋"/>
                <w:sz w:val="24"/>
              </w:rPr>
              <w:br w:type="textWrapping"/>
            </w:r>
            <w:r>
              <w:rPr>
                <w:rFonts w:ascii="仿宋" w:hAnsi="仿宋" w:eastAsia="仿宋"/>
                <w:sz w:val="24"/>
              </w:rPr>
              <w:t>测试记录：对每次上电测试记录输入电压电流、输出功率、效率、温升现象、以及异常波形截图等，作为迭代依据；</w:t>
            </w:r>
            <w:r>
              <w:rPr>
                <w:rFonts w:ascii="仿宋" w:hAnsi="仿宋" w:eastAsia="仿宋"/>
                <w:sz w:val="24"/>
              </w:rPr>
              <w:br w:type="textWrapping"/>
            </w:r>
            <w:r>
              <w:rPr>
                <w:rFonts w:ascii="仿宋" w:hAnsi="仿宋" w:eastAsia="仿宋"/>
                <w:sz w:val="24"/>
              </w:rPr>
              <w:t>采购与加工记录：对关键器件（利兹线、导磁/屏蔽材料、电容、MOSFET/驱动芯片等）建立采购清单与到货状态表，避免迭代周期被供应链因素拉长。</w:t>
            </w:r>
          </w:p>
          <w:p w14:paraId="189838C2">
            <w:pPr>
              <w:spacing w:before="120" w:after="60" w:line="360" w:lineRule="auto"/>
            </w:pPr>
            <w:r>
              <w:rPr>
                <w:rFonts w:ascii="仿宋" w:hAnsi="仿宋" w:eastAsia="仿宋"/>
                <w:b/>
                <w:sz w:val="28"/>
              </w:rPr>
              <w:t>协同开发与GitHub版本管理</w:t>
            </w:r>
            <w:r>
              <w:rPr>
                <w:rFonts w:ascii="仿宋" w:hAnsi="仿宋" w:eastAsia="仿宋"/>
                <w:sz w:val="24"/>
              </w:rPr>
              <w:br w:type="textWrapping"/>
            </w:r>
            <w:r>
              <w:rPr>
                <w:rFonts w:ascii="仿宋" w:hAnsi="仿宋" w:eastAsia="仿宋"/>
                <w:sz w:val="24"/>
              </w:rPr>
              <w:t>项目组将GitHub作为核心的协同开发与版本管理平台，确保代码、文档与设计文件的统一管理与高效协作：</w:t>
            </w:r>
            <w:r>
              <w:rPr>
                <w:rFonts w:ascii="仿宋" w:hAnsi="仿宋" w:eastAsia="仿宋"/>
                <w:sz w:val="24"/>
              </w:rPr>
              <w:br w:type="textWrapping"/>
            </w:r>
            <w:r>
              <w:rPr>
                <w:rFonts w:ascii="仿宋" w:hAnsi="仿宋" w:eastAsia="仿宋"/>
                <w:sz w:val="24"/>
              </w:rPr>
              <w:t>（1）代码仓库管理：在GitHub上建立项目仓库，将嵌入式固件代码（STM32 HAL库工程、FreeRTOS任务模块等）、MATLAB/Simulink仿真模型文件、以及项目技术文档纳入统一的版本控制体系。仓库采用清晰的文件目录结构，区分硬件设计（原理图/PCB）、嵌入式代码、仿真模型、技术文档等不同类别，便于团队成员快速定位所需文件。</w:t>
            </w:r>
            <w:r>
              <w:rPr>
                <w:rFonts w:ascii="仿宋" w:hAnsi="仿宋" w:eastAsia="仿宋"/>
                <w:sz w:val="24"/>
              </w:rPr>
              <w:br w:type="textWrapping"/>
            </w:r>
            <w:r>
              <w:rPr>
                <w:rFonts w:ascii="仿宋" w:hAnsi="仿宋" w:eastAsia="仿宋"/>
                <w:sz w:val="24"/>
              </w:rPr>
              <w:t>（2）分支协作策略：采用"主分支（master/main）+ 功能分支（feature branch）"的Git工作流。master分支始终保持可编译、可运行的稳定版本；各成员根据分工领域创建独立的功能分支（如 firmware/fz_hbridge、firmware/adc_sensor、firmware/fod 等），在各自分支上进行开发与调试，经测试通过后通过Pull Request合并入主分支。该策略有效避免了代码冲突，确保了多人并行开发的顺畅进行。</w:t>
            </w:r>
            <w:r>
              <w:rPr>
                <w:rFonts w:ascii="仿宋" w:hAnsi="仿宋" w:eastAsia="仿宋"/>
                <w:sz w:val="24"/>
              </w:rPr>
              <w:br w:type="textWrapping"/>
            </w:r>
            <w:r>
              <w:rPr>
                <w:rFonts w:ascii="仿宋" w:hAnsi="仿宋" w:eastAsia="仿宋"/>
                <w:sz w:val="24"/>
              </w:rPr>
              <w:t>（3）提交记录与问题追踪：要求成员遵循规范的Commit Message格式，每次提交均标注修改模块与变更摘要（如"[H-Bridge] 修复JTAG引脚释放问题，添加SysInit安全上电流程"），形成清晰的版本演进历史。同时利用GitHub Issues功能记录开发过程中遇到的硬件问题、软件Bug及改进需求，建立从"问题发现—任务分配—代码修复—问题关闭"的完整闭环管理链路。</w:t>
            </w:r>
            <w:r>
              <w:rPr>
                <w:rFonts w:ascii="仿宋" w:hAnsi="仿宋" w:eastAsia="仿宋"/>
                <w:sz w:val="24"/>
              </w:rPr>
              <w:br w:type="textWrapping"/>
            </w:r>
            <w:r>
              <w:rPr>
                <w:rFonts w:ascii="仿宋" w:hAnsi="仿宋" w:eastAsia="仿宋"/>
                <w:sz w:val="24"/>
              </w:rPr>
              <w:t>（4）文档同步与知识沉淀：项目的技术文档（如PROJECT_REFERENCE.md、README.md及各模块接口说明）同步纳入仓库管理并随代码更新而同步维护，确保文档与实际工程状态保持一致。重要设计决策与调试经验以Markdown格式记录于仓库文档中，便于团队成员随时查阅与知识传承。</w:t>
            </w:r>
            <w:r>
              <w:rPr>
                <w:rFonts w:ascii="仿宋" w:hAnsi="仿宋" w:eastAsia="仿宋"/>
                <w:sz w:val="24"/>
              </w:rPr>
              <w:br w:type="textWrapping"/>
            </w:r>
            <w:r>
              <w:rPr>
                <w:rFonts w:ascii="仿宋" w:hAnsi="仿宋" w:eastAsia="仿宋"/>
                <w:sz w:val="24"/>
              </w:rPr>
              <w:t>（5）版本回溯与迭代对比：得益于Git的版本管理能力，项目组能够在硬件迭代（第一版→第二版）中方便地对比历史版本的电路设计参数与代码实现，快速定位版本间的差异点，为迭代优化提供了可靠的技术参考基线。</w:t>
            </w:r>
          </w:p>
        </w:tc>
      </w:tr>
      <w:tr w14:paraId="0DCF6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8463" w:type="dxa"/>
            <w:gridSpan w:val="7"/>
            <w:tcBorders>
              <w:top w:val="single" w:color="auto" w:sz="4" w:space="0"/>
              <w:left w:val="single" w:color="auto" w:sz="4" w:space="0"/>
              <w:bottom w:val="single" w:color="auto" w:sz="4" w:space="0"/>
              <w:right w:val="single" w:color="auto" w:sz="4" w:space="0"/>
            </w:tcBorders>
            <w:vAlign w:val="center"/>
          </w:tcPr>
          <w:p w14:paraId="28F30339">
            <w:pPr>
              <w:spacing w:before="120" w:after="60" w:line="360" w:lineRule="auto"/>
              <w:rPr>
                <w:rFonts w:ascii="仿宋_GB2312" w:eastAsia="仿宋_GB2312"/>
                <w:sz w:val="24"/>
              </w:rPr>
            </w:pPr>
            <w:r>
              <w:rPr>
                <w:rFonts w:hint="eastAsia" w:ascii="仿宋" w:hAnsi="仿宋" w:eastAsia="仿宋"/>
                <w:b/>
                <w:sz w:val="28"/>
              </w:rPr>
              <w:t>五、经费使用情况</w:t>
            </w:r>
          </w:p>
        </w:tc>
      </w:tr>
      <w:tr w14:paraId="59E97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 w:hRule="atLeast"/>
        </w:trPr>
        <w:tc>
          <w:tcPr>
            <w:tcW w:w="8463" w:type="dxa"/>
            <w:gridSpan w:val="7"/>
            <w:tcBorders>
              <w:top w:val="single" w:color="auto" w:sz="4" w:space="0"/>
              <w:left w:val="single" w:color="auto" w:sz="4" w:space="0"/>
              <w:bottom w:val="single" w:color="auto" w:sz="4" w:space="0"/>
              <w:right w:val="single" w:color="auto" w:sz="4" w:space="0"/>
            </w:tcBorders>
          </w:tcPr>
          <w:p w14:paraId="69F79039">
            <w:pPr>
              <w:spacing w:line="360" w:lineRule="auto"/>
              <w:rPr>
                <w:rFonts w:ascii="仿宋_GB2312" w:eastAsia="仿宋_GB2312"/>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数字电桥手持式便捷测试仪电阻电感电容贴片LCR智能万用表      271.75元</w:t>
            </w:r>
          </w:p>
          <w:p w14:paraId="5964BB4A">
            <w:pPr>
              <w:spacing w:line="360" w:lineRule="auto"/>
              <w:rPr>
                <w:rFonts w:ascii="仿宋_GB2312" w:eastAsia="仿宋_GB2312"/>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金属制品锡锅</w:t>
            </w:r>
            <w:r>
              <w:rPr>
                <w:rFonts w:hint="eastAsia" w:ascii="仿宋" w:hAnsi="仿宋" w:eastAsia="仿宋"/>
                <w:color w:val="000000" w:themeColor="text1"/>
                <w:sz w:val="24"/>
                <w14:textFill>
                  <w14:solidFill>
                    <w14:schemeClr w14:val="tx1"/>
                  </w14:solidFill>
                </w14:textFill>
              </w:rPr>
              <w:t>+锡条                                           168.86元</w:t>
            </w:r>
          </w:p>
          <w:p w14:paraId="2AB33814">
            <w:pPr>
              <w:spacing w:line="360" w:lineRule="auto"/>
              <w:rPr>
                <w:rFonts w:ascii="仿宋_GB2312" w:eastAsia="仿宋_GB2312"/>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电子元器件                                                  264.74元</w:t>
            </w:r>
          </w:p>
          <w:p w14:paraId="387B3262">
            <w:pPr>
              <w:spacing w:line="360" w:lineRule="auto"/>
              <w:rPr>
                <w:rFonts w:ascii="仿宋_GB2312" w:eastAsia="仿宋_GB2312"/>
                <w:sz w:val="24"/>
              </w:rPr>
            </w:pPr>
          </w:p>
          <w:p w14:paraId="0871E4E5">
            <w:pPr>
              <w:spacing w:line="360" w:lineRule="auto"/>
              <w:rPr>
                <w:rFonts w:ascii="仿宋_GB2312" w:eastAsia="仿宋_GB2312"/>
                <w:sz w:val="24"/>
              </w:rPr>
            </w:pPr>
          </w:p>
          <w:p w14:paraId="1466E4F5">
            <w:pPr>
              <w:spacing w:line="360" w:lineRule="auto"/>
              <w:rPr>
                <w:rFonts w:ascii="仿宋_GB2312" w:eastAsia="仿宋_GB2312"/>
                <w:sz w:val="24"/>
              </w:rPr>
            </w:pPr>
          </w:p>
          <w:p w14:paraId="4A6A5495">
            <w:pPr>
              <w:spacing w:line="360" w:lineRule="auto"/>
              <w:rPr>
                <w:rFonts w:ascii="仿宋_GB2312" w:eastAsia="仿宋_GB2312"/>
                <w:sz w:val="24"/>
              </w:rPr>
            </w:pPr>
          </w:p>
          <w:p w14:paraId="6C3BC034">
            <w:pPr>
              <w:spacing w:line="360" w:lineRule="auto"/>
              <w:rPr>
                <w:rFonts w:ascii="仿宋_GB2312" w:eastAsia="仿宋_GB2312"/>
                <w:sz w:val="24"/>
              </w:rPr>
            </w:pPr>
          </w:p>
          <w:p w14:paraId="4B497031">
            <w:pPr>
              <w:spacing w:line="360" w:lineRule="auto"/>
              <w:rPr>
                <w:rFonts w:ascii="仿宋_GB2312" w:eastAsia="仿宋_GB2312"/>
                <w:sz w:val="24"/>
              </w:rPr>
            </w:pPr>
          </w:p>
          <w:p w14:paraId="5B61F7D1">
            <w:pPr>
              <w:spacing w:line="360" w:lineRule="auto"/>
              <w:rPr>
                <w:rFonts w:ascii="仿宋_GB2312" w:eastAsia="仿宋_GB2312"/>
                <w:sz w:val="24"/>
              </w:rPr>
            </w:pPr>
          </w:p>
          <w:p w14:paraId="586CFBF8">
            <w:pPr>
              <w:spacing w:line="360" w:lineRule="auto"/>
              <w:rPr>
                <w:rFonts w:ascii="仿宋_GB2312" w:eastAsia="仿宋_GB2312"/>
                <w:sz w:val="24"/>
              </w:rPr>
            </w:pPr>
          </w:p>
          <w:p w14:paraId="2987DCE1">
            <w:pPr>
              <w:spacing w:line="360" w:lineRule="auto"/>
              <w:rPr>
                <w:rFonts w:ascii="仿宋_GB2312" w:eastAsia="仿宋_GB2312"/>
                <w:sz w:val="24"/>
              </w:rPr>
            </w:pPr>
          </w:p>
          <w:p w14:paraId="6D55DA5B">
            <w:pPr>
              <w:spacing w:line="360" w:lineRule="auto"/>
              <w:rPr>
                <w:rFonts w:ascii="仿宋_GB2312" w:eastAsia="仿宋_GB2312"/>
                <w:sz w:val="24"/>
              </w:rPr>
            </w:pPr>
          </w:p>
          <w:p w14:paraId="452B614C">
            <w:pPr>
              <w:spacing w:line="360" w:lineRule="auto"/>
              <w:rPr>
                <w:rFonts w:hint="eastAsia" w:ascii="仿宋_GB2312" w:eastAsia="仿宋_GB2312"/>
                <w:sz w:val="24"/>
              </w:rPr>
            </w:pPr>
          </w:p>
          <w:p w14:paraId="680B3A46">
            <w:pPr>
              <w:spacing w:line="360" w:lineRule="auto"/>
              <w:rPr>
                <w:rFonts w:ascii="仿宋_GB2312" w:eastAsia="仿宋_GB2312"/>
                <w:sz w:val="24"/>
              </w:rPr>
            </w:pPr>
          </w:p>
          <w:p w14:paraId="11C77FD3">
            <w:pPr>
              <w:spacing w:line="360" w:lineRule="auto"/>
              <w:rPr>
                <w:rFonts w:ascii="仿宋_GB2312" w:eastAsia="仿宋_GB2312"/>
                <w:sz w:val="24"/>
              </w:rPr>
            </w:pPr>
          </w:p>
          <w:p w14:paraId="1063A624">
            <w:pPr>
              <w:spacing w:line="360" w:lineRule="auto"/>
              <w:ind w:right="960"/>
              <w:rPr>
                <w:rFonts w:hint="eastAsia" w:ascii="仿宋_GB2312" w:eastAsia="仿宋_GB2312"/>
                <w:sz w:val="24"/>
              </w:rPr>
            </w:pPr>
          </w:p>
        </w:tc>
      </w:tr>
      <w:tr w14:paraId="7669C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8463" w:type="dxa"/>
            <w:gridSpan w:val="7"/>
            <w:tcBorders>
              <w:top w:val="single" w:color="auto" w:sz="4" w:space="0"/>
              <w:left w:val="single" w:color="auto" w:sz="4" w:space="0"/>
              <w:bottom w:val="single" w:color="auto" w:sz="4" w:space="0"/>
              <w:right w:val="single" w:color="auto" w:sz="4" w:space="0"/>
            </w:tcBorders>
            <w:vAlign w:val="center"/>
          </w:tcPr>
          <w:p w14:paraId="6DB93D18">
            <w:pPr>
              <w:spacing w:before="120" w:after="60" w:line="360" w:lineRule="auto"/>
              <w:rPr>
                <w:rFonts w:ascii="仿宋_GB2312" w:eastAsia="仿宋_GB2312"/>
                <w:sz w:val="24"/>
              </w:rPr>
            </w:pPr>
            <w:r>
              <w:rPr>
                <w:rFonts w:hint="eastAsia" w:ascii="仿宋" w:hAnsi="仿宋" w:eastAsia="仿宋"/>
                <w:b/>
                <w:sz w:val="28"/>
              </w:rPr>
              <w:t>六、目前存在问题及解决方案</w:t>
            </w:r>
          </w:p>
        </w:tc>
      </w:tr>
      <w:tr w14:paraId="2EBB0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98" w:hRule="atLeast"/>
        </w:trPr>
        <w:tc>
          <w:tcPr>
            <w:tcW w:w="8463" w:type="dxa"/>
            <w:gridSpan w:val="7"/>
            <w:tcBorders>
              <w:top w:val="single" w:color="auto" w:sz="4" w:space="0"/>
              <w:left w:val="single" w:color="auto" w:sz="4" w:space="0"/>
              <w:bottom w:val="single" w:color="auto" w:sz="4" w:space="0"/>
              <w:right w:val="single" w:color="auto" w:sz="4" w:space="0"/>
            </w:tcBorders>
          </w:tcPr>
          <w:p w14:paraId="52134E8D">
            <w:pPr>
              <w:spacing w:before="120" w:after="60" w:line="360" w:lineRule="auto"/>
              <w:rPr>
                <w:rFonts w:ascii="仿宋_GB2312" w:eastAsia="仿宋_GB2312"/>
                <w:b/>
                <w:bCs/>
                <w:color w:val="000000" w:themeColor="text1"/>
                <w:sz w:val="24"/>
                <w14:textFill>
                  <w14:solidFill>
                    <w14:schemeClr w14:val="tx1"/>
                  </w14:solidFill>
                </w14:textFill>
              </w:rPr>
            </w:pPr>
            <w:r>
              <w:rPr>
                <w:rFonts w:hint="eastAsia" w:ascii="仿宋" w:hAnsi="仿宋" w:eastAsia="仿宋"/>
                <w:b/>
                <w:bCs/>
                <w:color w:val="000000" w:themeColor="text1"/>
                <w:sz w:val="28"/>
                <w14:textFill>
                  <w14:solidFill>
                    <w14:schemeClr w14:val="tx1"/>
                  </w14:solidFill>
                </w14:textFill>
              </w:rPr>
              <w:t>偏移工况下功率衰减明显，抗偏移能力不足</w:t>
            </w:r>
          </w:p>
          <w:p w14:paraId="49B94CDE">
            <w:pPr>
              <w:spacing w:line="360" w:lineRule="auto"/>
              <w:rPr>
                <w:rFonts w:ascii="仿宋_GB2312" w:eastAsia="仿宋_GB2312"/>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问题表现：</w:t>
            </w:r>
          </w:p>
          <w:p w14:paraId="64C6ABBA">
            <w:pPr>
              <w:spacing w:line="360" w:lineRule="auto"/>
              <w:rPr>
                <w:rFonts w:ascii="仿宋_GB2312" w:eastAsia="仿宋_GB2312"/>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第一版样机在正对工况下可稳定输出约30W，但在发生水平偏移后输出功率显著下降：当线圈相对位置以圆心为基准偏移 25%（相对线圈尺寸的比例偏移）时，输出功率由约 30W 降至 27W；当偏移达到 50% 时，输出功率由约 30W 降至 5W。</w:t>
            </w:r>
          </w:p>
          <w:p w14:paraId="34B6D88F">
            <w:pPr>
              <w:spacing w:line="360" w:lineRule="auto"/>
              <w:rPr>
                <w:rFonts w:ascii="仿宋_GB2312" w:eastAsia="仿宋_GB2312"/>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上述结果表明，第一版系统对大偏移工况敏感，尚不能满足非结构化泊接场景下“抗偏移+稳定输出”的目标需求。</w:t>
            </w:r>
          </w:p>
          <w:p w14:paraId="659EC58E">
            <w:pPr>
              <w:spacing w:line="360" w:lineRule="auto"/>
              <w:rPr>
                <w:rFonts w:ascii="仿宋_GB2312" w:eastAsia="仿宋_GB2312"/>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原因分析：</w:t>
            </w:r>
          </w:p>
          <w:p w14:paraId="170DD019">
            <w:pPr>
              <w:spacing w:line="360" w:lineRule="auto"/>
              <w:rPr>
                <w:rFonts w:ascii="仿宋_GB2312" w:eastAsia="仿宋_GB2312"/>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偏移导致互感 (M) 下降甚至进入弱耦合区，系统等效传输能力快速变差；在现有参数下，LCC-LCC网络对互感变化的“补偿能力”不足，输出随互感下降明显；线圈结构与磁通覆盖范围仍有限（尤其在大偏移时），实际可用耦合区域不足。</w:t>
            </w:r>
          </w:p>
          <w:p w14:paraId="07F51E0F">
            <w:pPr>
              <w:spacing w:line="360" w:lineRule="auto"/>
              <w:rPr>
                <w:rFonts w:ascii="仿宋_GB2312" w:eastAsia="仿宋_GB2312"/>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解决方案与下一步计划：</w:t>
            </w:r>
          </w:p>
          <w:p w14:paraId="618EEA28">
            <w:pPr>
              <w:spacing w:line="360" w:lineRule="auto"/>
              <w:rPr>
                <w:rFonts w:ascii="仿宋_GB2312" w:eastAsia="仿宋_GB2312"/>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磁路侧（提升偏移容忍度）：推进“DD发射 + DDQ接收”的非对称磁耦合机构设计与验证，利用Q线圈在偏移条件下对垂直磁通的捕获能力，提高大偏移下的能量传输连续性，减少“有效传输区域骤降”。配合磁芯/屏蔽材料（铁氧体或纳米晶）方案调研与样品测试，降低漏磁并提升有效耦合。电路侧（互感下降时提升增益/稳定电流）：建立“偏移量—互感变化—输出电流/功率”的数据对应关系，作为后续参数整定依据；</w:t>
            </w:r>
          </w:p>
          <w:p w14:paraId="42B9F006">
            <w:pPr>
              <w:spacing w:line="360" w:lineRule="auto"/>
              <w:rPr>
                <w:rFonts w:ascii="仿宋_GB2312" w:eastAsia="仿宋_GB2312"/>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在第二版迭代中通过补偿参数微调与失谐策略试验，验证“电路增益非线性上升补偿互感下降”的可行性，逐步逼近“偏移下仍维持恒流/恒功率输出”的目标。测试侧（形成可复用评价方法）：规范偏移测试流程：固定间隙、固定频率与输入条件，按偏移比例逐点扫描，记录输出功率/效率/波形与温升，为抗偏移优化提供可量化对比依据。</w:t>
            </w:r>
          </w:p>
          <w:p w14:paraId="7239FACE">
            <w:pPr>
              <w:spacing w:line="360" w:lineRule="auto"/>
              <w:rPr>
                <w:rFonts w:ascii="仿宋_GB2312" w:eastAsia="仿宋_GB2312"/>
                <w:b/>
                <w:bCs/>
                <w:color w:val="000000" w:themeColor="text1"/>
                <w:sz w:val="24"/>
                <w14:textFill>
                  <w14:solidFill>
                    <w14:schemeClr w14:val="tx1"/>
                  </w14:solidFill>
                </w14:textFill>
              </w:rPr>
            </w:pPr>
            <w:r>
              <w:rPr>
                <w:rFonts w:hint="eastAsia" w:ascii="仿宋" w:hAnsi="仿宋" w:eastAsia="仿宋"/>
                <w:bCs/>
                <w:color w:val="000000" w:themeColor="text1"/>
                <w:sz w:val="24"/>
                <w14:textFill>
                  <w14:solidFill>
                    <w14:schemeClr w14:val="tx1"/>
                  </w14:solidFill>
                </w14:textFill>
              </w:rPr>
              <w:t>传输效率偏低，损耗来源尚未完全量化</w:t>
            </w:r>
          </w:p>
          <w:p w14:paraId="3557AEDE">
            <w:pPr>
              <w:spacing w:line="360" w:lineRule="auto"/>
              <w:rPr>
                <w:rFonts w:ascii="仿宋_GB2312" w:eastAsia="仿宋_GB2312"/>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问题表现：</w:t>
            </w:r>
          </w:p>
          <w:p w14:paraId="7FDC4234">
            <w:pPr>
              <w:spacing w:line="360" w:lineRule="auto"/>
              <w:rPr>
                <w:rFonts w:ascii="仿宋_GB2312" w:eastAsia="仿宋_GB2312"/>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第一版样机在正对工况下实现约60W输入、30W输出，效率约50%，与后续目标存在差距。当前已形成阶段性判断，但损耗尚未按模块量化分解。</w:t>
            </w:r>
          </w:p>
          <w:p w14:paraId="3FE4B0A3">
            <w:pPr>
              <w:spacing w:line="360" w:lineRule="auto"/>
              <w:rPr>
                <w:rFonts w:ascii="仿宋_GB2312" w:eastAsia="仿宋_GB2312"/>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原因分析（阶段性结论）：</w:t>
            </w:r>
          </w:p>
          <w:p w14:paraId="43593ED9">
            <w:pPr>
              <w:spacing w:line="360" w:lineRule="auto"/>
              <w:rPr>
                <w:rFonts w:ascii="仿宋_GB2312" w:eastAsia="仿宋_GB2312"/>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成品线圈内阻偏大导致铜耗较高；谐振电容与焊点、走线回路引入寄生参数，增加高频损耗；整流方式带来额外压降与损耗。</w:t>
            </w:r>
          </w:p>
          <w:p w14:paraId="51CCD84F">
            <w:pPr>
              <w:spacing w:line="360" w:lineRule="auto"/>
              <w:rPr>
                <w:rFonts w:ascii="仿宋_GB2312" w:eastAsia="仿宋_GB2312"/>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解决方案与落实情况：</w:t>
            </w:r>
          </w:p>
          <w:p w14:paraId="3A93217F">
            <w:pPr>
              <w:spacing w:line="360" w:lineRule="auto"/>
              <w:rPr>
                <w:rFonts w:ascii="仿宋_GB2312" w:eastAsia="仿宋_GB2312"/>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线圈侧：已完成利兹线手绕线圈制作，用于降低交流电阻与集肤效应损耗；整流侧：接收端由异步整流升级为“混合整流”，以降低整流损耗；器件与布局侧：第二版发射端已进行大电流走线与连接关系修订（走线圆弧化、全桥关键连接修正等），等待回板验证；量化方法：下一步通过线圈电阻/电感实测、关键节点波形与温升记录，形成损耗清单，明确优先优化项。</w:t>
            </w:r>
          </w:p>
          <w:p w14:paraId="3978D3F6">
            <w:pPr>
              <w:spacing w:line="360" w:lineRule="auto"/>
              <w:rPr>
                <w:rFonts w:ascii="仿宋_GB2312" w:eastAsia="仿宋_GB2312"/>
                <w:b/>
                <w:bCs/>
                <w:color w:val="000000" w:themeColor="text1"/>
                <w:sz w:val="24"/>
                <w14:textFill>
                  <w14:solidFill>
                    <w14:schemeClr w14:val="tx1"/>
                  </w14:solidFill>
                </w14:textFill>
              </w:rPr>
            </w:pPr>
            <w:r>
              <w:rPr>
                <w:rFonts w:hint="eastAsia" w:ascii="仿宋" w:hAnsi="仿宋" w:eastAsia="仿宋"/>
                <w:bCs/>
                <w:color w:val="000000" w:themeColor="text1"/>
                <w:sz w:val="24"/>
                <w14:textFill>
                  <w14:solidFill>
                    <w14:schemeClr w14:val="tx1"/>
                  </w14:solidFill>
                </w14:textFill>
              </w:rPr>
              <w:t>48V升压方案引入新风险：系统稳定性与器件应力需验证</w:t>
            </w:r>
          </w:p>
          <w:p w14:paraId="6B686180">
            <w:pPr>
              <w:spacing w:line="360" w:lineRule="auto"/>
              <w:rPr>
                <w:rFonts w:ascii="仿宋_GB2312" w:eastAsia="仿宋_GB2312"/>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问题表现：</w:t>
            </w:r>
          </w:p>
          <w:p w14:paraId="1E71633D">
            <w:pPr>
              <w:spacing w:line="360" w:lineRule="auto"/>
              <w:rPr>
                <w:rFonts w:ascii="仿宋_GB2312" w:eastAsia="仿宋_GB2312"/>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第二版将输入由24V提升至48V（新增升压级），发射端在实物阶段曾出现异常，已排除元件与焊接因素后确认需进行原理图/PCB修订，说明高压平台下对拓扑连接与布局更敏感。</w:t>
            </w:r>
          </w:p>
          <w:p w14:paraId="7EF8D8D3">
            <w:pPr>
              <w:spacing w:line="360" w:lineRule="auto"/>
              <w:rPr>
                <w:rFonts w:ascii="仿宋_GB2312" w:eastAsia="仿宋_GB2312"/>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原因分析：</w:t>
            </w:r>
          </w:p>
          <w:p w14:paraId="2BA3034D">
            <w:pPr>
              <w:spacing w:line="360" w:lineRule="auto"/>
              <w:rPr>
                <w:rFonts w:ascii="仿宋_GB2312" w:eastAsia="仿宋_GB2312"/>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全桥功率级在高dv/dt、di/dt条件下对寄生参数与连接关系敏感，易出现振铃、波形畸变或误触发；大电流/高频回路的走线形态、回路面积、地参考不当会放大不稳定风险。</w:t>
            </w:r>
          </w:p>
          <w:p w14:paraId="27C26323">
            <w:pPr>
              <w:spacing w:line="360" w:lineRule="auto"/>
              <w:rPr>
                <w:rFonts w:ascii="仿宋_GB2312" w:eastAsia="仿宋_GB2312"/>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解决方案与落实情况：</w:t>
            </w:r>
          </w:p>
          <w:p w14:paraId="6761F819">
            <w:pPr>
              <w:spacing w:line="360" w:lineRule="auto"/>
              <w:rPr>
                <w:rFonts w:ascii="仿宋_GB2312" w:eastAsia="仿宋_GB2312"/>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已完成发射端修改并发加工：优化大电流走线形状、降低板层、修正全桥关键连接关系、多电源走线优化等；回板后按“低压→额定、空载→带载、短时→长时”顺序逐步上电，并重点监测栅极波形、桥臂中点波形、温升与效率，确保稳定性可重复。</w:t>
            </w:r>
          </w:p>
          <w:p w14:paraId="3477D4BD">
            <w:pPr>
              <w:spacing w:line="360" w:lineRule="auto"/>
              <w:rPr>
                <w:rFonts w:ascii="仿宋_GB2312" w:eastAsia="仿宋_GB2312"/>
                <w:b/>
                <w:bCs/>
                <w:color w:val="000000" w:themeColor="text1"/>
                <w:sz w:val="24"/>
                <w14:textFill>
                  <w14:solidFill>
                    <w14:schemeClr w14:val="tx1"/>
                  </w14:solidFill>
                </w14:textFill>
              </w:rPr>
            </w:pPr>
            <w:r>
              <w:rPr>
                <w:rFonts w:hint="eastAsia" w:ascii="仿宋" w:hAnsi="仿宋" w:eastAsia="仿宋"/>
                <w:bCs/>
                <w:color w:val="000000" w:themeColor="text1"/>
                <w:sz w:val="24"/>
                <w14:textFill>
                  <w14:solidFill>
                    <w14:schemeClr w14:val="tx1"/>
                  </w14:solidFill>
                </w14:textFill>
              </w:rPr>
              <w:t>轻量化与热平衡目标尚未进入实证阶段（在效率提升后推进）</w:t>
            </w:r>
          </w:p>
          <w:p w14:paraId="74292196">
            <w:pPr>
              <w:spacing w:line="360" w:lineRule="auto"/>
              <w:rPr>
                <w:rFonts w:ascii="仿宋_GB2312" w:eastAsia="仿宋_GB2312"/>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问题表现：</w:t>
            </w:r>
          </w:p>
          <w:p w14:paraId="68FA69E8">
            <w:pPr>
              <w:spacing w:line="360" w:lineRule="auto"/>
              <w:rPr>
                <w:rFonts w:ascii="仿宋_GB2312" w:eastAsia="仿宋_GB2312"/>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项目目标要求接收端模组（含线圈与电路）&lt;600g、&lt;20mm且可实现300W传输。当前样机仍处于效率与抗偏移能力提升阶段，纳米晶替代铁氧体后的损耗与温升、长期运行可靠性尚缺少实验数据支撑。</w:t>
            </w:r>
          </w:p>
          <w:p w14:paraId="69BDD134">
            <w:pPr>
              <w:spacing w:line="360" w:lineRule="auto"/>
              <w:rPr>
                <w:rFonts w:ascii="仿宋_GB2312" w:eastAsia="仿宋_GB2312"/>
                <w:color w:val="000000" w:themeColor="text1"/>
                <w:sz w:val="24"/>
                <w14:textFill>
                  <w14:solidFill>
                    <w14:schemeClr w14:val="tx1"/>
                  </w14:solidFill>
                </w14:textFill>
              </w:rPr>
            </w:pPr>
          </w:p>
          <w:p w14:paraId="320FB59F">
            <w:pPr>
              <w:spacing w:line="360" w:lineRule="auto"/>
              <w:rPr>
                <w:rFonts w:ascii="仿宋_GB2312" w:eastAsia="仿宋_GB2312"/>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原因分析：</w:t>
            </w:r>
          </w:p>
          <w:p w14:paraId="1FB766A9">
            <w:pPr>
              <w:spacing w:line="360" w:lineRule="auto"/>
              <w:rPr>
                <w:rFonts w:ascii="仿宋_GB2312" w:eastAsia="仿宋_GB2312"/>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高频磁损耗、涡流损耗与效率不足会直接导致温升，增加热设计难度；轻量化约束限制传统散热结构空间。</w:t>
            </w:r>
          </w:p>
          <w:p w14:paraId="59EA2953">
            <w:pPr>
              <w:spacing w:line="360" w:lineRule="auto"/>
              <w:rPr>
                <w:rFonts w:ascii="仿宋_GB2312" w:eastAsia="仿宋_GB2312"/>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解决方案与推进策略推进顺序：</w:t>
            </w:r>
          </w:p>
          <w:p w14:paraId="07403D62">
            <w:pPr>
              <w:spacing w:line="360" w:lineRule="auto"/>
              <w:rPr>
                <w:rFonts w:ascii="仿宋_GB2312" w:eastAsia="仿宋_GB2312"/>
                <w:color w:val="000000" w:themeColor="text1"/>
                <w:sz w:val="24"/>
                <w14:textFill>
                  <w14:solidFill>
                    <w14:schemeClr w14:val="tx1"/>
                  </w14:solidFill>
                </w14:textFill>
              </w:rPr>
            </w:pPr>
            <w:r>
              <w:rPr>
                <w:rFonts w:hint="eastAsia" w:ascii="仿宋" w:hAnsi="仿宋" w:eastAsia="仿宋"/>
                <w:color w:val="000000" w:themeColor="text1"/>
                <w:sz w:val="24"/>
                <w14:textFill>
                  <w14:solidFill>
                    <w14:schemeClr w14:val="tx1"/>
                  </w14:solidFill>
                </w14:textFill>
              </w:rPr>
              <w:t>先将效率与稳定性提升到可支撑更高功率测试的水平，再开展材料替换与热设计对比；材料验证：开展铁氧体/纳米晶材料样品对比测试，在相同频率与功率条件下记录温升与效率变化；热测试规范：制定固定测点、固定时间、固定环境的温升记录流程，形成“功率—效率—温升”对照表，为后续满足600g与连续运行提供依据。</w:t>
            </w:r>
          </w:p>
          <w:p w14:paraId="467F7F1D">
            <w:pPr>
              <w:spacing w:line="360" w:lineRule="auto"/>
              <w:rPr>
                <w:rFonts w:ascii="仿宋_GB2312" w:eastAsia="仿宋_GB2312"/>
                <w:color w:val="000000" w:themeColor="text1"/>
                <w:sz w:val="24"/>
                <w14:textFill>
                  <w14:solidFill>
                    <w14:schemeClr w14:val="tx1"/>
                  </w14:solidFill>
                </w14:textFill>
              </w:rPr>
            </w:pPr>
          </w:p>
          <w:p w14:paraId="243C6350">
            <w:pPr>
              <w:spacing w:line="360" w:lineRule="auto"/>
              <w:rPr>
                <w:rFonts w:ascii="仿宋_GB2312" w:eastAsia="仿宋_GB2312"/>
                <w:color w:val="000000" w:themeColor="text1"/>
                <w:sz w:val="24"/>
                <w14:textFill>
                  <w14:solidFill>
                    <w14:schemeClr w14:val="tx1"/>
                  </w14:solidFill>
                </w14:textFill>
              </w:rPr>
            </w:pPr>
          </w:p>
          <w:p w14:paraId="3BBABD7E">
            <w:pPr>
              <w:spacing w:line="360" w:lineRule="auto"/>
              <w:rPr>
                <w:rFonts w:ascii="仿宋_GB2312" w:eastAsia="仿宋_GB2312"/>
                <w:sz w:val="24"/>
              </w:rPr>
            </w:pPr>
          </w:p>
          <w:p w14:paraId="060464EB">
            <w:pPr>
              <w:spacing w:line="360" w:lineRule="auto"/>
              <w:rPr>
                <w:rFonts w:ascii="仿宋_GB2312" w:eastAsia="仿宋_GB2312"/>
                <w:sz w:val="24"/>
              </w:rPr>
            </w:pPr>
          </w:p>
          <w:p w14:paraId="40A0B0F2">
            <w:pPr>
              <w:spacing w:line="360" w:lineRule="auto"/>
              <w:rPr>
                <w:rFonts w:ascii="仿宋_GB2312" w:eastAsia="仿宋_GB2312"/>
                <w:sz w:val="24"/>
              </w:rPr>
            </w:pPr>
          </w:p>
          <w:p w14:paraId="76AB93CF">
            <w:pPr>
              <w:spacing w:line="360" w:lineRule="auto"/>
              <w:rPr>
                <w:rFonts w:ascii="仿宋_GB2312" w:eastAsia="仿宋_GB2312"/>
                <w:sz w:val="24"/>
              </w:rPr>
            </w:pPr>
          </w:p>
          <w:p w14:paraId="05525CFC">
            <w:pPr>
              <w:spacing w:line="360" w:lineRule="auto"/>
              <w:rPr>
                <w:rFonts w:hint="eastAsia" w:ascii="仿宋_GB2312" w:eastAsia="仿宋_GB2312"/>
                <w:sz w:val="24"/>
              </w:rPr>
            </w:pPr>
          </w:p>
          <w:p w14:paraId="71A02C30">
            <w:pPr>
              <w:spacing w:line="360" w:lineRule="auto"/>
              <w:rPr>
                <w:rFonts w:ascii="仿宋_GB2312" w:eastAsia="仿宋_GB2312"/>
                <w:sz w:val="24"/>
              </w:rPr>
            </w:pPr>
          </w:p>
          <w:p w14:paraId="28CC1CB5">
            <w:pPr>
              <w:spacing w:line="360" w:lineRule="auto"/>
              <w:rPr>
                <w:rFonts w:ascii="仿宋_GB2312" w:eastAsia="仿宋_GB2312"/>
                <w:sz w:val="24"/>
              </w:rPr>
            </w:pPr>
          </w:p>
          <w:p w14:paraId="39761B8E">
            <w:pPr>
              <w:spacing w:line="360" w:lineRule="auto"/>
              <w:rPr>
                <w:rFonts w:ascii="仿宋_GB2312" w:eastAsia="仿宋_GB2312"/>
                <w:sz w:val="24"/>
              </w:rPr>
            </w:pPr>
          </w:p>
          <w:p w14:paraId="030BDB39">
            <w:pPr>
              <w:spacing w:line="360" w:lineRule="auto"/>
              <w:rPr>
                <w:rFonts w:ascii="仿宋_GB2312" w:eastAsia="仿宋_GB2312"/>
                <w:sz w:val="24"/>
              </w:rPr>
            </w:pPr>
          </w:p>
          <w:p w14:paraId="78E5DBDE">
            <w:pPr>
              <w:spacing w:line="360" w:lineRule="auto"/>
              <w:rPr>
                <w:rFonts w:ascii="仿宋_GB2312" w:eastAsia="仿宋_GB2312"/>
                <w:sz w:val="24"/>
              </w:rPr>
            </w:pPr>
          </w:p>
          <w:p w14:paraId="2530BC67">
            <w:pPr>
              <w:spacing w:line="360" w:lineRule="auto"/>
              <w:rPr>
                <w:rFonts w:ascii="仿宋_GB2312" w:eastAsia="仿宋_GB2312"/>
                <w:sz w:val="24"/>
              </w:rPr>
            </w:pPr>
          </w:p>
          <w:p w14:paraId="59B8836C">
            <w:pPr>
              <w:spacing w:line="360" w:lineRule="auto"/>
              <w:ind w:right="960" w:firstLine="4560" w:firstLineChars="1900"/>
              <w:rPr>
                <w:rFonts w:ascii="仿宋_GB2312" w:eastAsia="仿宋_GB2312"/>
                <w:sz w:val="24"/>
              </w:rPr>
            </w:pPr>
            <w:r>
              <w:rPr>
                <w:rFonts w:hint="eastAsia" w:ascii="仿宋" w:hAnsi="仿宋" w:eastAsia="仿宋"/>
                <w:sz w:val="24"/>
              </w:rPr>
              <w:t>项目负责人（签名）</w:t>
            </w:r>
          </w:p>
          <w:p w14:paraId="1696B56E">
            <w:pPr>
              <w:spacing w:line="360" w:lineRule="auto"/>
              <w:rPr>
                <w:rFonts w:ascii="仿宋_GB2312" w:eastAsia="仿宋_GB2312"/>
                <w:sz w:val="24"/>
              </w:rPr>
            </w:pPr>
            <w:r>
              <w:rPr>
                <w:rFonts w:hint="eastAsia" w:ascii="仿宋" w:hAnsi="仿宋" w:eastAsia="仿宋"/>
                <w:sz w:val="24"/>
              </w:rPr>
              <w:t xml:space="preserve">                                         年  </w:t>
            </w:r>
            <w:r>
              <w:rPr>
                <w:rFonts w:ascii="仿宋" w:hAnsi="仿宋" w:eastAsia="仿宋"/>
                <w:sz w:val="24"/>
              </w:rPr>
              <w:t xml:space="preserve"> </w:t>
            </w:r>
            <w:r>
              <w:rPr>
                <w:rFonts w:hint="eastAsia" w:ascii="仿宋" w:hAnsi="仿宋" w:eastAsia="仿宋"/>
                <w:sz w:val="24"/>
              </w:rPr>
              <w:t>月   日</w:t>
            </w:r>
          </w:p>
        </w:tc>
      </w:tr>
      <w:tr w14:paraId="44FE1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2" w:hRule="atLeast"/>
        </w:trPr>
        <w:tc>
          <w:tcPr>
            <w:tcW w:w="1209" w:type="dxa"/>
            <w:tcBorders>
              <w:top w:val="single" w:color="auto" w:sz="4" w:space="0"/>
              <w:left w:val="single" w:color="auto" w:sz="4" w:space="0"/>
              <w:bottom w:val="single" w:color="auto" w:sz="4" w:space="0"/>
              <w:right w:val="single" w:color="auto" w:sz="4" w:space="0"/>
            </w:tcBorders>
          </w:tcPr>
          <w:p w14:paraId="57D725A1">
            <w:pPr>
              <w:spacing w:before="120" w:after="60" w:line="360" w:lineRule="auto"/>
              <w:rPr>
                <w:rFonts w:ascii="仿宋_GB2312" w:eastAsia="仿宋_GB2312"/>
                <w:sz w:val="24"/>
              </w:rPr>
            </w:pPr>
            <w:r>
              <w:rPr>
                <w:rFonts w:hint="eastAsia" w:ascii="仿宋" w:hAnsi="仿宋" w:eastAsia="仿宋"/>
                <w:b/>
                <w:sz w:val="28"/>
              </w:rPr>
              <w:t>七、是否申报重点支持项目（仅国家级项目可申报）</w:t>
            </w:r>
          </w:p>
        </w:tc>
        <w:tc>
          <w:tcPr>
            <w:tcW w:w="7254" w:type="dxa"/>
            <w:gridSpan w:val="6"/>
            <w:tcBorders>
              <w:top w:val="single" w:color="auto" w:sz="4" w:space="0"/>
              <w:left w:val="single" w:color="auto" w:sz="4" w:space="0"/>
              <w:bottom w:val="single" w:color="auto" w:sz="4" w:space="0"/>
              <w:right w:val="single" w:color="auto" w:sz="4" w:space="0"/>
            </w:tcBorders>
          </w:tcPr>
          <w:p w14:paraId="73CB7DC2">
            <w:pPr>
              <w:spacing w:line="360" w:lineRule="auto"/>
              <w:jc w:val="left"/>
              <w:rPr>
                <w:rFonts w:ascii="仿宋_GB2312" w:eastAsia="仿宋_GB2312"/>
                <w:color w:val="000000" w:themeColor="text1"/>
                <w:sz w:val="24"/>
                <w14:textFill>
                  <w14:solidFill>
                    <w14:schemeClr w14:val="tx1"/>
                  </w14:solidFill>
                </w14:textFill>
              </w:rPr>
            </w:pPr>
            <w:r>
              <w:rPr>
                <w:rFonts w:ascii="Wingdings 2" w:hAnsi="Wingdings 2" w:eastAsia="Wingdings 2" w:cs="Wingdings 2"/>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否</w:t>
            </w:r>
          </w:p>
          <w:p w14:paraId="60A4675F">
            <w:pPr>
              <w:spacing w:line="360" w:lineRule="auto"/>
              <w:jc w:val="left"/>
              <w:rPr>
                <w:rFonts w:ascii="仿宋_GB2312" w:eastAsia="仿宋_GB2312"/>
                <w:color w:val="000000" w:themeColor="text1"/>
                <w:sz w:val="24"/>
                <w14:textFill>
                  <w14:solidFill>
                    <w14:schemeClr w14:val="tx1"/>
                  </w14:solidFill>
                </w14:textFill>
              </w:rPr>
            </w:pPr>
          </w:p>
          <w:p w14:paraId="1E1E96EF">
            <w:pPr>
              <w:spacing w:line="360" w:lineRule="auto"/>
              <w:jc w:val="left"/>
              <w:rPr>
                <w:rFonts w:ascii="仿宋_GB2312" w:eastAsia="仿宋_GB2312"/>
                <w:color w:val="000000" w:themeColor="text1"/>
                <w:sz w:val="24"/>
                <w14:textFill>
                  <w14:solidFill>
                    <w14:schemeClr w14:val="tx1"/>
                  </w14:solidFill>
                </w14:textFill>
              </w:rPr>
            </w:pPr>
          </w:p>
          <w:p w14:paraId="16910620">
            <w:pPr>
              <w:spacing w:line="360" w:lineRule="auto"/>
              <w:jc w:val="left"/>
              <w:rPr>
                <w:rFonts w:ascii="仿宋_GB2312" w:eastAsia="仿宋_GB2312"/>
                <w:color w:val="000000" w:themeColor="text1"/>
                <w:sz w:val="24"/>
                <w14:textFill>
                  <w14:solidFill>
                    <w14:schemeClr w14:val="tx1"/>
                  </w14:solidFill>
                </w14:textFill>
              </w:rPr>
            </w:pPr>
            <w:r>
              <w:rPr>
                <w:rFonts w:ascii="Wingdings 2" w:hAnsi="Wingdings 2" w:eastAsia="Wingdings 2" w:cs="Wingdings 2"/>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 xml:space="preserve">是 </w:t>
            </w:r>
            <w:r>
              <w:rPr>
                <w:rFonts w:ascii="仿宋" w:hAnsi="仿宋" w:eastAsia="仿宋"/>
                <w:color w:val="000000" w:themeColor="text1"/>
                <w:sz w:val="24"/>
                <w14:textFill>
                  <w14:solidFill>
                    <w14:schemeClr w14:val="tx1"/>
                  </w14:solidFill>
                </w14:textFill>
              </w:rPr>
              <w:t xml:space="preserve"> </w:t>
            </w:r>
            <w:r>
              <w:rPr>
                <w:rFonts w:hint="eastAsia" w:ascii="仿宋" w:hAnsi="仿宋" w:eastAsia="仿宋"/>
                <w:color w:val="000000" w:themeColor="text1"/>
                <w:sz w:val="24"/>
                <w14:textFill>
                  <w14:solidFill>
                    <w14:schemeClr w14:val="tx1"/>
                  </w14:solidFill>
                </w14:textFill>
              </w:rPr>
              <w:t>选择1项所属重点领域</w:t>
            </w:r>
            <w:r>
              <w:rPr>
                <w:rFonts w:ascii="仿宋" w:hAnsi="仿宋" w:eastAsia="仿宋"/>
                <w:color w:val="000000" w:themeColor="text1"/>
                <w:sz w:val="24"/>
                <w14:textFill>
                  <w14:solidFill>
                    <w14:schemeClr w14:val="tx1"/>
                  </w14:solidFill>
                </w14:textFill>
              </w:rPr>
              <w:t>：</w:t>
            </w:r>
            <w:r>
              <w:rPr>
                <w:rFonts w:hint="eastAsia" w:ascii="仿宋" w:hAnsi="仿宋" w:eastAsia="仿宋"/>
                <w:color w:val="000000" w:themeColor="text1"/>
                <w:sz w:val="24"/>
                <w14:textFill>
                  <w14:solidFill>
                    <w14:schemeClr w14:val="tx1"/>
                  </w14:solidFill>
                </w14:textFill>
              </w:rPr>
              <w:t>(</w:t>
            </w:r>
            <w:r>
              <w:rPr>
                <w:rFonts w:ascii="仿宋" w:hAnsi="仿宋" w:eastAsia="仿宋"/>
                <w:color w:val="000000" w:themeColor="text1"/>
                <w:sz w:val="24"/>
                <w14:textFill>
                  <w14:solidFill>
                    <w14:schemeClr w14:val="tx1"/>
                  </w14:solidFill>
                </w14:textFill>
              </w:rPr>
              <w:t xml:space="preserve">     )</w:t>
            </w:r>
          </w:p>
          <w:p w14:paraId="54A4AF0C">
            <w:pPr>
              <w:spacing w:line="360" w:lineRule="auto"/>
              <w:jc w:val="left"/>
              <w:rPr>
                <w:rFonts w:ascii="仿宋_GB2312" w:eastAsia="仿宋_GB2312"/>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A.</w:t>
            </w:r>
            <w:r>
              <w:rPr>
                <w:rFonts w:hint="eastAsia" w:ascii="仿宋" w:hAnsi="仿宋" w:eastAsia="仿宋"/>
                <w:color w:val="000000" w:themeColor="text1"/>
                <w:sz w:val="24"/>
                <w14:textFill>
                  <w14:solidFill>
                    <w14:schemeClr w14:val="tx1"/>
                  </w14:solidFill>
                </w14:textFill>
              </w:rPr>
              <w:t>基础学科</w:t>
            </w:r>
          </w:p>
          <w:p w14:paraId="4CDC4CC1">
            <w:pPr>
              <w:spacing w:line="360" w:lineRule="auto"/>
              <w:jc w:val="left"/>
              <w:rPr>
                <w:rFonts w:ascii="仿宋_GB2312" w:eastAsia="仿宋_GB2312"/>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B.</w:t>
            </w:r>
            <w:r>
              <w:rPr>
                <w:rFonts w:hint="eastAsia" w:ascii="仿宋" w:hAnsi="仿宋" w:eastAsia="仿宋"/>
                <w:color w:val="000000" w:themeColor="text1"/>
                <w:sz w:val="24"/>
                <w14:textFill>
                  <w14:solidFill>
                    <w14:schemeClr w14:val="tx1"/>
                  </w14:solidFill>
                </w14:textFill>
              </w:rPr>
              <w:t>新工科</w:t>
            </w:r>
          </w:p>
          <w:p w14:paraId="3A796972">
            <w:pPr>
              <w:spacing w:line="360" w:lineRule="auto"/>
              <w:jc w:val="left"/>
              <w:rPr>
                <w:rFonts w:ascii="仿宋_GB2312" w:eastAsia="仿宋_GB2312"/>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C</w:t>
            </w:r>
            <w:r>
              <w:rPr>
                <w:rFonts w:hint="eastAsia" w:ascii="仿宋" w:hAnsi="仿宋" w:eastAsia="仿宋"/>
                <w:color w:val="000000" w:themeColor="text1"/>
                <w:sz w:val="24"/>
                <w14:textFill>
                  <w14:solidFill>
                    <w14:schemeClr w14:val="tx1"/>
                  </w14:solidFill>
                </w14:textFill>
              </w:rPr>
              <w:t>.新医科</w:t>
            </w:r>
          </w:p>
          <w:p w14:paraId="5ECF1261">
            <w:pPr>
              <w:spacing w:line="360" w:lineRule="auto"/>
              <w:jc w:val="left"/>
              <w:rPr>
                <w:rFonts w:ascii="仿宋_GB2312" w:eastAsia="仿宋_GB2312"/>
                <w:color w:val="000000" w:themeColor="text1"/>
                <w:sz w:val="24"/>
                <w14:textFill>
                  <w14:solidFill>
                    <w14:schemeClr w14:val="tx1"/>
                  </w14:solidFill>
                </w14:textFill>
              </w:rPr>
            </w:pPr>
            <w:r>
              <w:rPr>
                <w:rFonts w:ascii="仿宋" w:hAnsi="仿宋" w:eastAsia="仿宋"/>
                <w:color w:val="000000" w:themeColor="text1"/>
                <w:sz w:val="24"/>
                <w14:textFill>
                  <w14:solidFill>
                    <w14:schemeClr w14:val="tx1"/>
                  </w14:solidFill>
                </w14:textFill>
              </w:rPr>
              <w:t>D.</w:t>
            </w:r>
            <w:r>
              <w:rPr>
                <w:rFonts w:hint="eastAsia" w:ascii="仿宋" w:hAnsi="仿宋" w:eastAsia="仿宋"/>
                <w:color w:val="000000" w:themeColor="text1"/>
                <w:sz w:val="24"/>
                <w14:textFill>
                  <w14:solidFill>
                    <w14:schemeClr w14:val="tx1"/>
                  </w14:solidFill>
                </w14:textFill>
              </w:rPr>
              <w:t>新农科</w:t>
            </w:r>
          </w:p>
          <w:p w14:paraId="4900F685">
            <w:pPr>
              <w:spacing w:line="360" w:lineRule="auto"/>
              <w:jc w:val="left"/>
              <w:rPr>
                <w:rFonts w:ascii="仿宋_GB2312" w:eastAsia="仿宋_GB2312"/>
                <w:sz w:val="24"/>
              </w:rPr>
            </w:pPr>
            <w:r>
              <w:rPr>
                <w:rFonts w:ascii="仿宋" w:hAnsi="仿宋" w:eastAsia="仿宋"/>
                <w:color w:val="000000" w:themeColor="text1"/>
                <w:sz w:val="24"/>
                <w14:textFill>
                  <w14:solidFill>
                    <w14:schemeClr w14:val="tx1"/>
                  </w14:solidFill>
                </w14:textFill>
              </w:rPr>
              <w:t>E.</w:t>
            </w:r>
            <w:r>
              <w:rPr>
                <w:rFonts w:hint="eastAsia" w:ascii="仿宋" w:hAnsi="仿宋" w:eastAsia="仿宋"/>
                <w:color w:val="000000" w:themeColor="text1"/>
                <w:sz w:val="24"/>
                <w14:textFill>
                  <w14:solidFill>
                    <w14:schemeClr w14:val="tx1"/>
                  </w14:solidFill>
                </w14:textFill>
              </w:rPr>
              <w:t>新文科</w:t>
            </w:r>
          </w:p>
        </w:tc>
      </w:tr>
      <w:tr w14:paraId="7374F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8463" w:type="dxa"/>
            <w:gridSpan w:val="7"/>
            <w:tcBorders>
              <w:top w:val="single" w:color="auto" w:sz="4" w:space="0"/>
              <w:left w:val="single" w:color="auto" w:sz="4" w:space="0"/>
              <w:bottom w:val="single" w:color="auto" w:sz="4" w:space="0"/>
              <w:right w:val="single" w:color="auto" w:sz="4" w:space="0"/>
            </w:tcBorders>
            <w:vAlign w:val="center"/>
          </w:tcPr>
          <w:p w14:paraId="632A93CC">
            <w:pPr>
              <w:spacing w:before="120" w:after="60" w:line="360" w:lineRule="auto"/>
              <w:rPr>
                <w:rFonts w:ascii="仿宋_GB2312" w:eastAsia="仿宋_GB2312"/>
                <w:b/>
                <w:sz w:val="24"/>
                <w:u w:val="single"/>
              </w:rPr>
            </w:pPr>
            <w:r>
              <w:rPr>
                <w:rFonts w:hint="eastAsia" w:ascii="仿宋" w:hAnsi="仿宋" w:eastAsia="仿宋"/>
                <w:b/>
                <w:sz w:val="28"/>
              </w:rPr>
              <w:t>八、指导教师总体评价</w:t>
            </w:r>
          </w:p>
        </w:tc>
      </w:tr>
      <w:tr w14:paraId="5E86D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6" w:hRule="atLeast"/>
        </w:trPr>
        <w:tc>
          <w:tcPr>
            <w:tcW w:w="8463" w:type="dxa"/>
            <w:gridSpan w:val="7"/>
            <w:tcBorders>
              <w:top w:val="single" w:color="auto" w:sz="4" w:space="0"/>
              <w:left w:val="single" w:color="auto" w:sz="4" w:space="0"/>
              <w:bottom w:val="single" w:color="auto" w:sz="4" w:space="0"/>
              <w:right w:val="single" w:color="auto" w:sz="4" w:space="0"/>
            </w:tcBorders>
          </w:tcPr>
          <w:p w14:paraId="6922E884">
            <w:pPr>
              <w:spacing w:line="360" w:lineRule="auto"/>
              <w:rPr>
                <w:rFonts w:ascii="仿宋_GB2312" w:eastAsia="仿宋_GB2312"/>
                <w:b/>
                <w:sz w:val="24"/>
              </w:rPr>
            </w:pPr>
          </w:p>
          <w:p w14:paraId="7B3F0ECE">
            <w:pPr>
              <w:spacing w:line="360" w:lineRule="auto"/>
              <w:rPr>
                <w:rFonts w:ascii="仿宋_GB2312" w:eastAsia="仿宋_GB2312"/>
                <w:b/>
                <w:sz w:val="24"/>
              </w:rPr>
            </w:pPr>
          </w:p>
          <w:p w14:paraId="3D27E288">
            <w:pPr>
              <w:spacing w:line="360" w:lineRule="auto"/>
              <w:rPr>
                <w:rFonts w:ascii="仿宋_GB2312" w:eastAsia="仿宋_GB2312"/>
                <w:b/>
                <w:sz w:val="24"/>
              </w:rPr>
            </w:pPr>
          </w:p>
          <w:p w14:paraId="3E2A5240">
            <w:pPr>
              <w:spacing w:line="360" w:lineRule="auto"/>
              <w:rPr>
                <w:rFonts w:ascii="仿宋_GB2312" w:eastAsia="仿宋_GB2312"/>
                <w:b/>
                <w:sz w:val="24"/>
              </w:rPr>
            </w:pPr>
          </w:p>
          <w:p w14:paraId="742607C2">
            <w:pPr>
              <w:spacing w:line="360" w:lineRule="auto"/>
              <w:rPr>
                <w:rFonts w:hint="eastAsia" w:ascii="仿宋_GB2312" w:eastAsia="仿宋_GB2312"/>
                <w:b/>
                <w:sz w:val="24"/>
              </w:rPr>
            </w:pPr>
          </w:p>
          <w:p w14:paraId="78A228BA">
            <w:pPr>
              <w:spacing w:line="360" w:lineRule="auto"/>
              <w:rPr>
                <w:rFonts w:ascii="仿宋_GB2312" w:eastAsia="仿宋_GB2312"/>
                <w:b/>
                <w:sz w:val="24"/>
              </w:rPr>
            </w:pPr>
          </w:p>
          <w:p w14:paraId="000172B7">
            <w:pPr>
              <w:spacing w:line="360" w:lineRule="auto"/>
              <w:rPr>
                <w:rFonts w:ascii="仿宋_GB2312" w:eastAsia="仿宋_GB2312"/>
                <w:b/>
                <w:sz w:val="24"/>
              </w:rPr>
            </w:pPr>
          </w:p>
          <w:p w14:paraId="01B131B2">
            <w:pPr>
              <w:spacing w:line="360" w:lineRule="auto"/>
              <w:rPr>
                <w:rFonts w:hint="eastAsia" w:ascii="仿宋_GB2312" w:eastAsia="仿宋_GB2312"/>
                <w:b/>
                <w:sz w:val="24"/>
              </w:rPr>
            </w:pPr>
          </w:p>
          <w:p w14:paraId="175029A0">
            <w:pPr>
              <w:spacing w:line="360" w:lineRule="auto"/>
              <w:rPr>
                <w:rFonts w:hint="eastAsia" w:ascii="仿宋_GB2312" w:eastAsia="仿宋_GB2312"/>
                <w:b/>
                <w:sz w:val="24"/>
              </w:rPr>
            </w:pPr>
          </w:p>
          <w:p w14:paraId="0F71793F">
            <w:pPr>
              <w:spacing w:line="360" w:lineRule="auto"/>
              <w:rPr>
                <w:rFonts w:ascii="仿宋_GB2312" w:eastAsia="仿宋_GB2312"/>
                <w:b/>
                <w:sz w:val="24"/>
              </w:rPr>
            </w:pPr>
          </w:p>
          <w:p w14:paraId="0F4527D4">
            <w:pPr>
              <w:spacing w:line="360" w:lineRule="auto"/>
              <w:rPr>
                <w:rFonts w:hint="eastAsia" w:ascii="仿宋_GB2312" w:hAnsi="宋体" w:eastAsia="仿宋_GB2312"/>
                <w:sz w:val="24"/>
              </w:rPr>
            </w:pPr>
            <w:r>
              <w:rPr>
                <w:rFonts w:hint="eastAsia" w:ascii="仿宋" w:hAnsi="仿宋" w:eastAsia="仿宋"/>
                <w:sz w:val="24"/>
              </w:rPr>
              <w:t xml:space="preserve">                                                签字：</w:t>
            </w:r>
          </w:p>
          <w:p w14:paraId="6B159D7F">
            <w:pPr>
              <w:spacing w:line="360" w:lineRule="auto"/>
              <w:rPr>
                <w:rFonts w:hint="eastAsia" w:ascii="仿宋_GB2312" w:hAnsi="宋体" w:eastAsia="仿宋_GB2312"/>
                <w:sz w:val="24"/>
              </w:rPr>
            </w:pPr>
          </w:p>
          <w:p w14:paraId="3747F4CB">
            <w:pPr>
              <w:spacing w:line="360" w:lineRule="auto"/>
              <w:rPr>
                <w:rFonts w:hint="eastAsia" w:ascii="仿宋_GB2312" w:hAnsi="宋体" w:eastAsia="仿宋_GB2312"/>
                <w:sz w:val="24"/>
              </w:rPr>
            </w:pPr>
            <w:r>
              <w:rPr>
                <w:rFonts w:hint="eastAsia" w:ascii="仿宋" w:hAnsi="仿宋" w:eastAsia="仿宋"/>
                <w:sz w:val="24"/>
              </w:rPr>
              <w:t xml:space="preserve">                                                   年   月   日</w:t>
            </w:r>
          </w:p>
        </w:tc>
      </w:tr>
      <w:tr w14:paraId="0AD00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8463" w:type="dxa"/>
            <w:gridSpan w:val="7"/>
            <w:tcBorders>
              <w:top w:val="single" w:color="auto" w:sz="4" w:space="0"/>
              <w:left w:val="single" w:color="auto" w:sz="4" w:space="0"/>
              <w:bottom w:val="single" w:color="auto" w:sz="4" w:space="0"/>
              <w:right w:val="single" w:color="auto" w:sz="4" w:space="0"/>
            </w:tcBorders>
            <w:vAlign w:val="center"/>
          </w:tcPr>
          <w:p w14:paraId="765A8C94">
            <w:pPr>
              <w:spacing w:before="120" w:after="60" w:line="360" w:lineRule="auto"/>
              <w:rPr>
                <w:rFonts w:hint="eastAsia" w:ascii="仿宋_GB2312" w:hAnsi="宋体" w:eastAsia="仿宋_GB2312"/>
                <w:sz w:val="24"/>
              </w:rPr>
            </w:pPr>
            <w:r>
              <w:rPr>
                <w:rFonts w:hint="eastAsia" w:ascii="仿宋" w:hAnsi="仿宋" w:eastAsia="仿宋"/>
                <w:b/>
                <w:sz w:val="28"/>
              </w:rPr>
              <w:t>九、学院意见（是否按进度进行、级别推荐理由及建议等）</w:t>
            </w:r>
          </w:p>
        </w:tc>
      </w:tr>
      <w:tr w14:paraId="47575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3627" w:type="dxa"/>
            <w:gridSpan w:val="3"/>
            <w:tcBorders>
              <w:top w:val="single" w:color="auto" w:sz="4" w:space="0"/>
              <w:left w:val="single" w:color="auto" w:sz="4" w:space="0"/>
              <w:bottom w:val="single" w:color="auto" w:sz="4" w:space="0"/>
              <w:right w:val="single" w:color="auto" w:sz="4" w:space="0"/>
            </w:tcBorders>
            <w:vAlign w:val="center"/>
          </w:tcPr>
          <w:p w14:paraId="68BC909E">
            <w:pPr>
              <w:spacing w:line="360" w:lineRule="auto"/>
              <w:jc w:val="center"/>
              <w:rPr>
                <w:rFonts w:ascii="仿宋_GB2312" w:eastAsia="仿宋_GB2312"/>
                <w:b/>
                <w:sz w:val="24"/>
              </w:rPr>
            </w:pPr>
            <w:r>
              <w:rPr>
                <w:rFonts w:hint="eastAsia" w:ascii="仿宋" w:hAnsi="仿宋" w:eastAsia="仿宋"/>
                <w:sz w:val="24"/>
              </w:rPr>
              <w:t>推荐级别</w:t>
            </w:r>
          </w:p>
        </w:tc>
        <w:tc>
          <w:tcPr>
            <w:tcW w:w="4836" w:type="dxa"/>
            <w:gridSpan w:val="4"/>
            <w:tcBorders>
              <w:top w:val="single" w:color="auto" w:sz="4" w:space="0"/>
              <w:left w:val="single" w:color="auto" w:sz="4" w:space="0"/>
              <w:bottom w:val="single" w:color="auto" w:sz="4" w:space="0"/>
              <w:right w:val="single" w:color="auto" w:sz="4" w:space="0"/>
            </w:tcBorders>
            <w:vAlign w:val="center"/>
          </w:tcPr>
          <w:p w14:paraId="2504E1CE">
            <w:pPr>
              <w:spacing w:line="360" w:lineRule="auto"/>
              <w:jc w:val="center"/>
              <w:rPr>
                <w:rFonts w:ascii="仿宋_GB2312" w:eastAsia="仿宋_GB2312"/>
                <w:b/>
                <w:sz w:val="24"/>
              </w:rPr>
            </w:pPr>
            <w:r>
              <w:rPr>
                <w:rFonts w:hint="eastAsia" w:ascii="仿宋" w:hAnsi="仿宋" w:eastAsia="仿宋"/>
                <w:sz w:val="24"/>
              </w:rPr>
              <w:t xml:space="preserve">国家级□ </w:t>
            </w:r>
            <w:r>
              <w:rPr>
                <w:rFonts w:ascii="仿宋" w:hAnsi="仿宋" w:eastAsia="仿宋"/>
                <w:sz w:val="24"/>
              </w:rPr>
              <w:t xml:space="preserve">    </w:t>
            </w:r>
            <w:r>
              <w:rPr>
                <w:rFonts w:hint="eastAsia" w:ascii="仿宋" w:hAnsi="仿宋" w:eastAsia="仿宋"/>
                <w:sz w:val="24"/>
              </w:rPr>
              <w:t xml:space="preserve">  市级□  </w:t>
            </w:r>
            <w:r>
              <w:rPr>
                <w:rFonts w:ascii="仿宋" w:hAnsi="仿宋" w:eastAsia="仿宋"/>
                <w:sz w:val="24"/>
              </w:rPr>
              <w:t xml:space="preserve">     </w:t>
            </w:r>
            <w:r>
              <w:rPr>
                <w:rFonts w:hint="eastAsia" w:ascii="仿宋" w:hAnsi="仿宋" w:eastAsia="仿宋"/>
                <w:sz w:val="24"/>
              </w:rPr>
              <w:t>终止项目□</w:t>
            </w:r>
          </w:p>
        </w:tc>
      </w:tr>
      <w:tr w14:paraId="2CECE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2" w:hRule="atLeast"/>
        </w:trPr>
        <w:tc>
          <w:tcPr>
            <w:tcW w:w="8463" w:type="dxa"/>
            <w:gridSpan w:val="7"/>
            <w:tcBorders>
              <w:top w:val="single" w:color="auto" w:sz="4" w:space="0"/>
              <w:left w:val="single" w:color="auto" w:sz="4" w:space="0"/>
              <w:bottom w:val="single" w:color="auto" w:sz="4" w:space="0"/>
              <w:right w:val="single" w:color="auto" w:sz="4" w:space="0"/>
            </w:tcBorders>
            <w:vAlign w:val="center"/>
          </w:tcPr>
          <w:p w14:paraId="7DD4E759">
            <w:pPr>
              <w:spacing w:line="360" w:lineRule="auto"/>
              <w:rPr>
                <w:rFonts w:hint="eastAsia" w:ascii="仿宋_GB2312" w:hAnsi="宋体" w:eastAsia="仿宋_GB2312"/>
                <w:sz w:val="24"/>
              </w:rPr>
            </w:pPr>
          </w:p>
          <w:p w14:paraId="6BBC4461">
            <w:pPr>
              <w:spacing w:line="360" w:lineRule="auto"/>
              <w:rPr>
                <w:rFonts w:hint="eastAsia" w:ascii="仿宋_GB2312" w:hAnsi="宋体" w:eastAsia="仿宋_GB2312"/>
                <w:sz w:val="24"/>
              </w:rPr>
            </w:pPr>
          </w:p>
          <w:p w14:paraId="3098319A">
            <w:pPr>
              <w:spacing w:line="360" w:lineRule="auto"/>
              <w:rPr>
                <w:rFonts w:hint="eastAsia" w:ascii="仿宋_GB2312" w:hAnsi="宋体" w:eastAsia="仿宋_GB2312"/>
                <w:sz w:val="24"/>
              </w:rPr>
            </w:pPr>
          </w:p>
          <w:p w14:paraId="5F95BCBE">
            <w:pPr>
              <w:spacing w:line="360" w:lineRule="auto"/>
              <w:rPr>
                <w:rFonts w:hint="eastAsia" w:ascii="仿宋_GB2312" w:hAnsi="宋体" w:eastAsia="仿宋_GB2312"/>
                <w:sz w:val="24"/>
              </w:rPr>
            </w:pPr>
          </w:p>
          <w:p w14:paraId="77FE52DA">
            <w:pPr>
              <w:spacing w:line="360" w:lineRule="auto"/>
              <w:rPr>
                <w:rFonts w:hint="eastAsia" w:ascii="仿宋_GB2312" w:hAnsi="宋体" w:eastAsia="仿宋_GB2312"/>
                <w:sz w:val="24"/>
              </w:rPr>
            </w:pPr>
          </w:p>
          <w:p w14:paraId="72BD5EC4">
            <w:pPr>
              <w:spacing w:line="360" w:lineRule="auto"/>
              <w:rPr>
                <w:rFonts w:hint="eastAsia" w:ascii="仿宋_GB2312" w:hAnsi="宋体" w:eastAsia="仿宋_GB2312"/>
                <w:sz w:val="24"/>
              </w:rPr>
            </w:pPr>
          </w:p>
          <w:p w14:paraId="65E982DB">
            <w:pPr>
              <w:spacing w:line="360" w:lineRule="auto"/>
              <w:rPr>
                <w:rFonts w:hint="eastAsia" w:ascii="仿宋_GB2312" w:hAnsi="宋体" w:eastAsia="仿宋_GB2312"/>
                <w:sz w:val="24"/>
              </w:rPr>
            </w:pPr>
            <w:r>
              <w:rPr>
                <w:rFonts w:hint="eastAsia" w:ascii="仿宋" w:hAnsi="仿宋" w:eastAsia="仿宋"/>
                <w:sz w:val="24"/>
              </w:rPr>
              <w:t xml:space="preserve">                                               签字（盖章）：</w:t>
            </w:r>
          </w:p>
          <w:p w14:paraId="4A4DFCED">
            <w:pPr>
              <w:spacing w:line="360" w:lineRule="auto"/>
              <w:rPr>
                <w:rFonts w:hint="eastAsia" w:ascii="仿宋_GB2312" w:hAnsi="宋体" w:eastAsia="仿宋_GB2312"/>
                <w:sz w:val="24"/>
              </w:rPr>
            </w:pPr>
            <w:r>
              <w:rPr>
                <w:rFonts w:hint="eastAsia" w:ascii="仿宋" w:hAnsi="仿宋" w:eastAsia="仿宋"/>
                <w:sz w:val="24"/>
              </w:rPr>
              <w:t xml:space="preserve">                                                     年  </w:t>
            </w:r>
            <w:r>
              <w:rPr>
                <w:rFonts w:ascii="仿宋" w:hAnsi="仿宋" w:eastAsia="仿宋"/>
                <w:sz w:val="24"/>
              </w:rPr>
              <w:t xml:space="preserve"> </w:t>
            </w:r>
            <w:r>
              <w:rPr>
                <w:rFonts w:hint="eastAsia" w:ascii="仿宋" w:hAnsi="仿宋" w:eastAsia="仿宋"/>
                <w:sz w:val="24"/>
              </w:rPr>
              <w:t>月   日</w:t>
            </w:r>
          </w:p>
        </w:tc>
      </w:tr>
      <w:tr w14:paraId="0B96C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463" w:type="dxa"/>
            <w:gridSpan w:val="7"/>
            <w:tcBorders>
              <w:top w:val="single" w:color="auto" w:sz="4" w:space="0"/>
              <w:left w:val="single" w:color="auto" w:sz="4" w:space="0"/>
              <w:bottom w:val="single" w:color="auto" w:sz="4" w:space="0"/>
              <w:right w:val="single" w:color="auto" w:sz="4" w:space="0"/>
            </w:tcBorders>
            <w:vAlign w:val="center"/>
          </w:tcPr>
          <w:p w14:paraId="16D1D9A1">
            <w:pPr>
              <w:spacing w:before="120" w:after="60" w:line="360" w:lineRule="auto"/>
              <w:rPr>
                <w:rFonts w:ascii="仿宋_GB2312" w:eastAsia="仿宋_GB2312"/>
                <w:sz w:val="24"/>
              </w:rPr>
            </w:pPr>
            <w:r>
              <w:rPr>
                <w:rFonts w:hint="eastAsia" w:ascii="仿宋" w:hAnsi="仿宋" w:eastAsia="仿宋"/>
                <w:b/>
                <w:sz w:val="28"/>
              </w:rPr>
              <w:t>十、学校专家组意见</w:t>
            </w:r>
          </w:p>
        </w:tc>
      </w:tr>
      <w:tr w14:paraId="2542F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3627" w:type="dxa"/>
            <w:gridSpan w:val="3"/>
            <w:tcBorders>
              <w:top w:val="single" w:color="auto" w:sz="4" w:space="0"/>
              <w:left w:val="single" w:color="auto" w:sz="4" w:space="0"/>
              <w:bottom w:val="single" w:color="auto" w:sz="4" w:space="0"/>
              <w:right w:val="single" w:color="auto" w:sz="4" w:space="0"/>
            </w:tcBorders>
            <w:vAlign w:val="center"/>
          </w:tcPr>
          <w:p w14:paraId="3240CAD6">
            <w:pPr>
              <w:spacing w:line="360" w:lineRule="auto"/>
              <w:jc w:val="center"/>
              <w:rPr>
                <w:rFonts w:ascii="仿宋_GB2312" w:eastAsia="仿宋_GB2312"/>
                <w:b/>
                <w:sz w:val="24"/>
              </w:rPr>
            </w:pPr>
            <w:r>
              <w:rPr>
                <w:rFonts w:hint="eastAsia" w:ascii="仿宋" w:hAnsi="仿宋" w:eastAsia="仿宋"/>
                <w:sz w:val="24"/>
              </w:rPr>
              <w:t>推荐级别</w:t>
            </w:r>
          </w:p>
        </w:tc>
        <w:tc>
          <w:tcPr>
            <w:tcW w:w="4836" w:type="dxa"/>
            <w:gridSpan w:val="4"/>
            <w:tcBorders>
              <w:top w:val="single" w:color="auto" w:sz="4" w:space="0"/>
              <w:left w:val="single" w:color="auto" w:sz="4" w:space="0"/>
              <w:bottom w:val="single" w:color="auto" w:sz="4" w:space="0"/>
              <w:right w:val="single" w:color="auto" w:sz="4" w:space="0"/>
            </w:tcBorders>
            <w:vAlign w:val="center"/>
          </w:tcPr>
          <w:p w14:paraId="7AB24D0E">
            <w:pPr>
              <w:spacing w:line="360" w:lineRule="auto"/>
              <w:jc w:val="center"/>
              <w:rPr>
                <w:rFonts w:ascii="仿宋_GB2312" w:eastAsia="仿宋_GB2312"/>
                <w:b/>
                <w:sz w:val="24"/>
              </w:rPr>
            </w:pPr>
            <w:r>
              <w:rPr>
                <w:rFonts w:hint="eastAsia" w:ascii="仿宋" w:hAnsi="仿宋" w:eastAsia="仿宋"/>
                <w:sz w:val="24"/>
              </w:rPr>
              <w:t xml:space="preserve">国家级□ </w:t>
            </w:r>
            <w:r>
              <w:rPr>
                <w:rFonts w:ascii="仿宋" w:hAnsi="仿宋" w:eastAsia="仿宋"/>
                <w:sz w:val="24"/>
              </w:rPr>
              <w:t xml:space="preserve">    </w:t>
            </w:r>
            <w:r>
              <w:rPr>
                <w:rFonts w:hint="eastAsia" w:ascii="仿宋" w:hAnsi="仿宋" w:eastAsia="仿宋"/>
                <w:sz w:val="24"/>
              </w:rPr>
              <w:t xml:space="preserve">  市级□  </w:t>
            </w:r>
            <w:r>
              <w:rPr>
                <w:rFonts w:ascii="仿宋" w:hAnsi="仿宋" w:eastAsia="仿宋"/>
                <w:sz w:val="24"/>
              </w:rPr>
              <w:t xml:space="preserve">     </w:t>
            </w:r>
            <w:r>
              <w:rPr>
                <w:rFonts w:hint="eastAsia" w:ascii="仿宋" w:hAnsi="仿宋" w:eastAsia="仿宋"/>
                <w:sz w:val="24"/>
              </w:rPr>
              <w:t>终止项目□</w:t>
            </w:r>
          </w:p>
        </w:tc>
      </w:tr>
      <w:tr w14:paraId="42307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6" w:hRule="atLeast"/>
        </w:trPr>
        <w:tc>
          <w:tcPr>
            <w:tcW w:w="8463" w:type="dxa"/>
            <w:gridSpan w:val="7"/>
            <w:tcBorders>
              <w:top w:val="nil"/>
              <w:left w:val="single" w:color="auto" w:sz="4" w:space="0"/>
              <w:bottom w:val="single" w:color="auto" w:sz="4" w:space="0"/>
              <w:right w:val="single" w:color="auto" w:sz="4" w:space="0"/>
            </w:tcBorders>
          </w:tcPr>
          <w:p w14:paraId="165892B5">
            <w:pPr>
              <w:spacing w:line="360" w:lineRule="auto"/>
              <w:rPr>
                <w:rFonts w:ascii="仿宋_GB2312" w:eastAsia="仿宋_GB2312"/>
                <w:sz w:val="24"/>
              </w:rPr>
            </w:pPr>
          </w:p>
          <w:p w14:paraId="5F00D5F6">
            <w:pPr>
              <w:spacing w:line="360" w:lineRule="auto"/>
              <w:rPr>
                <w:rFonts w:ascii="仿宋_GB2312" w:eastAsia="仿宋_GB2312"/>
                <w:sz w:val="24"/>
              </w:rPr>
            </w:pPr>
          </w:p>
          <w:p w14:paraId="42136F06">
            <w:pPr>
              <w:spacing w:line="360" w:lineRule="auto"/>
              <w:rPr>
                <w:rFonts w:hint="eastAsia" w:ascii="仿宋_GB2312" w:eastAsia="仿宋_GB2312"/>
                <w:sz w:val="24"/>
              </w:rPr>
            </w:pPr>
          </w:p>
          <w:p w14:paraId="39BE4216">
            <w:pPr>
              <w:spacing w:line="360" w:lineRule="auto"/>
              <w:rPr>
                <w:rFonts w:hint="eastAsia" w:ascii="仿宋_GB2312" w:eastAsia="仿宋_GB2312"/>
                <w:sz w:val="24"/>
              </w:rPr>
            </w:pPr>
          </w:p>
          <w:p w14:paraId="52FA0E26">
            <w:pPr>
              <w:spacing w:line="360" w:lineRule="auto"/>
              <w:rPr>
                <w:rFonts w:ascii="仿宋_GB2312" w:eastAsia="仿宋_GB2312"/>
                <w:sz w:val="24"/>
              </w:rPr>
            </w:pPr>
          </w:p>
          <w:p w14:paraId="05906862">
            <w:pPr>
              <w:spacing w:line="360" w:lineRule="auto"/>
              <w:rPr>
                <w:rFonts w:hint="eastAsia" w:ascii="仿宋_GB2312" w:eastAsia="仿宋_GB2312"/>
                <w:sz w:val="24"/>
              </w:rPr>
            </w:pPr>
          </w:p>
          <w:p w14:paraId="5DFD9E92">
            <w:pPr>
              <w:spacing w:line="360" w:lineRule="auto"/>
              <w:rPr>
                <w:rFonts w:ascii="仿宋_GB2312" w:eastAsia="仿宋_GB2312"/>
                <w:sz w:val="24"/>
              </w:rPr>
            </w:pPr>
            <w:r>
              <w:rPr>
                <w:rFonts w:hint="eastAsia" w:ascii="仿宋" w:hAnsi="仿宋" w:eastAsia="仿宋"/>
                <w:sz w:val="24"/>
              </w:rPr>
              <w:t xml:space="preserve">                                                       签字：</w:t>
            </w:r>
          </w:p>
          <w:p w14:paraId="65B92DEA">
            <w:pPr>
              <w:spacing w:line="360" w:lineRule="auto"/>
              <w:rPr>
                <w:rFonts w:ascii="仿宋_GB2312" w:eastAsia="仿宋_GB2312"/>
                <w:sz w:val="24"/>
              </w:rPr>
            </w:pPr>
          </w:p>
          <w:p w14:paraId="0C2352E9">
            <w:pPr>
              <w:spacing w:line="360" w:lineRule="auto"/>
              <w:rPr>
                <w:rFonts w:ascii="仿宋_GB2312" w:eastAsia="仿宋_GB2312"/>
                <w:sz w:val="24"/>
              </w:rPr>
            </w:pPr>
            <w:r>
              <w:rPr>
                <w:rFonts w:hint="eastAsia" w:ascii="仿宋" w:hAnsi="仿宋" w:eastAsia="仿宋"/>
                <w:sz w:val="24"/>
              </w:rPr>
              <w:t xml:space="preserve">                                                      年  </w:t>
            </w:r>
            <w:r>
              <w:rPr>
                <w:rFonts w:ascii="仿宋" w:hAnsi="仿宋" w:eastAsia="仿宋"/>
                <w:sz w:val="24"/>
              </w:rPr>
              <w:t xml:space="preserve"> </w:t>
            </w:r>
            <w:r>
              <w:rPr>
                <w:rFonts w:hint="eastAsia" w:ascii="仿宋" w:hAnsi="仿宋" w:eastAsia="仿宋"/>
                <w:sz w:val="24"/>
              </w:rPr>
              <w:t xml:space="preserve">月 </w:t>
            </w:r>
            <w:r>
              <w:rPr>
                <w:rFonts w:ascii="仿宋" w:hAnsi="仿宋" w:eastAsia="仿宋"/>
                <w:sz w:val="24"/>
              </w:rPr>
              <w:t xml:space="preserve"> </w:t>
            </w:r>
            <w:r>
              <w:rPr>
                <w:rFonts w:hint="eastAsia" w:ascii="仿宋" w:hAnsi="仿宋" w:eastAsia="仿宋"/>
                <w:sz w:val="24"/>
              </w:rPr>
              <w:t>日</w:t>
            </w:r>
          </w:p>
        </w:tc>
      </w:tr>
    </w:tbl>
    <w:p w14:paraId="57CC2B46">
      <w:pPr>
        <w:rPr>
          <w:rFonts w:hint="eastAsia" w:ascii="仿宋_GB2312" w:eastAsia="仿宋_GB2312"/>
          <w:sz w:val="24"/>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A14CA091-A7ED-40D0-B786-9C9E69448F28}"/>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embedRegular r:id="rId2" w:fontKey="{A09E2565-D3F4-41EE-A3F4-D904E19BB9F1}"/>
  </w:font>
  <w:font w:name="微软雅黑">
    <w:panose1 w:val="020B0503020204020204"/>
    <w:charset w:val="86"/>
    <w:family w:val="auto"/>
    <w:pitch w:val="default"/>
    <w:sig w:usb0="80000287" w:usb1="2ACF3C50" w:usb2="00000016" w:usb3="00000000" w:csb0="0004001F" w:csb1="00000000"/>
  </w:font>
  <w:font w:name="方正小标宋简体">
    <w:panose1 w:val="02000000000000000000"/>
    <w:charset w:val="86"/>
    <w:family w:val="auto"/>
    <w:pitch w:val="default"/>
    <w:sig w:usb0="00000001" w:usb1="08000000" w:usb2="00000000" w:usb3="00000000" w:csb0="00040000" w:csb1="00000000"/>
    <w:embedRegular r:id="rId3" w:fontKey="{7E38EB31-337F-4874-B444-9CE82D88867F}"/>
  </w:font>
  <w:font w:name="仿宋">
    <w:panose1 w:val="02010609060101010101"/>
    <w:charset w:val="86"/>
    <w:family w:val="modern"/>
    <w:pitch w:val="default"/>
    <w:sig w:usb0="800002BF" w:usb1="38CF7CFA" w:usb2="00000016" w:usb3="00000000" w:csb0="00040001" w:csb1="00000000"/>
    <w:embedRegular r:id="rId4" w:fontKey="{CC451702-6169-45E6-AA37-5DC21E099F49}"/>
  </w:font>
  <w:font w:name="Wingdings 2">
    <w:panose1 w:val="05020102010507070707"/>
    <w:charset w:val="02"/>
    <w:family w:val="roman"/>
    <w:pitch w:val="default"/>
    <w:sig w:usb0="00000000" w:usb1="00000000" w:usb2="00000000" w:usb3="00000000" w:csb0="80000000" w:csb1="00000000"/>
    <w:embedRegular r:id="rId5" w:fontKey="{6F0AD0A9-45EC-4A78-B5B1-C3956803DD78}"/>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41E4B"/>
    <w:rsid w:val="00053FEA"/>
    <w:rsid w:val="0006608D"/>
    <w:rsid w:val="000704F9"/>
    <w:rsid w:val="00071F8B"/>
    <w:rsid w:val="0008036E"/>
    <w:rsid w:val="0009015A"/>
    <w:rsid w:val="000A0C91"/>
    <w:rsid w:val="000A5631"/>
    <w:rsid w:val="000B3473"/>
    <w:rsid w:val="000D07A0"/>
    <w:rsid w:val="000D19EA"/>
    <w:rsid w:val="000E4F88"/>
    <w:rsid w:val="000F0078"/>
    <w:rsid w:val="000F0225"/>
    <w:rsid w:val="000F0D46"/>
    <w:rsid w:val="001011C2"/>
    <w:rsid w:val="00104084"/>
    <w:rsid w:val="00123E55"/>
    <w:rsid w:val="00144B07"/>
    <w:rsid w:val="0016112E"/>
    <w:rsid w:val="00161E48"/>
    <w:rsid w:val="00172A27"/>
    <w:rsid w:val="00183ECA"/>
    <w:rsid w:val="001C4BA2"/>
    <w:rsid w:val="001C4EC3"/>
    <w:rsid w:val="001D769E"/>
    <w:rsid w:val="001E745F"/>
    <w:rsid w:val="001F64DC"/>
    <w:rsid w:val="002072D4"/>
    <w:rsid w:val="002222C9"/>
    <w:rsid w:val="0022592B"/>
    <w:rsid w:val="00225B58"/>
    <w:rsid w:val="002325E0"/>
    <w:rsid w:val="00237B7B"/>
    <w:rsid w:val="0024029D"/>
    <w:rsid w:val="002500E7"/>
    <w:rsid w:val="00251062"/>
    <w:rsid w:val="00251BA9"/>
    <w:rsid w:val="00253719"/>
    <w:rsid w:val="00254C13"/>
    <w:rsid w:val="00255BB3"/>
    <w:rsid w:val="00266E7B"/>
    <w:rsid w:val="00267C0E"/>
    <w:rsid w:val="00270C3C"/>
    <w:rsid w:val="00276EBB"/>
    <w:rsid w:val="002804BB"/>
    <w:rsid w:val="00282417"/>
    <w:rsid w:val="002850E8"/>
    <w:rsid w:val="0028510D"/>
    <w:rsid w:val="002B266B"/>
    <w:rsid w:val="002B4C76"/>
    <w:rsid w:val="002B568E"/>
    <w:rsid w:val="002D6179"/>
    <w:rsid w:val="002E55A1"/>
    <w:rsid w:val="00316ED7"/>
    <w:rsid w:val="003204B7"/>
    <w:rsid w:val="00333CE4"/>
    <w:rsid w:val="00340E9B"/>
    <w:rsid w:val="0034614F"/>
    <w:rsid w:val="003470E4"/>
    <w:rsid w:val="00362C47"/>
    <w:rsid w:val="003744F1"/>
    <w:rsid w:val="00374DC4"/>
    <w:rsid w:val="0039248E"/>
    <w:rsid w:val="003B53CB"/>
    <w:rsid w:val="003B7D2F"/>
    <w:rsid w:val="003E7E61"/>
    <w:rsid w:val="003F46BF"/>
    <w:rsid w:val="003F5CB6"/>
    <w:rsid w:val="00413E0E"/>
    <w:rsid w:val="0046708A"/>
    <w:rsid w:val="00472936"/>
    <w:rsid w:val="00483A3F"/>
    <w:rsid w:val="0048707E"/>
    <w:rsid w:val="004D1E73"/>
    <w:rsid w:val="004E57B9"/>
    <w:rsid w:val="0050474C"/>
    <w:rsid w:val="00513FA3"/>
    <w:rsid w:val="00514B22"/>
    <w:rsid w:val="00527E85"/>
    <w:rsid w:val="005401EE"/>
    <w:rsid w:val="00553D19"/>
    <w:rsid w:val="00554DCE"/>
    <w:rsid w:val="005734E3"/>
    <w:rsid w:val="0058234A"/>
    <w:rsid w:val="00590AF8"/>
    <w:rsid w:val="00590BA8"/>
    <w:rsid w:val="00593FB2"/>
    <w:rsid w:val="005A4149"/>
    <w:rsid w:val="005B3AAC"/>
    <w:rsid w:val="005C7ABD"/>
    <w:rsid w:val="005D5905"/>
    <w:rsid w:val="005D7C6F"/>
    <w:rsid w:val="006170A7"/>
    <w:rsid w:val="00630DDD"/>
    <w:rsid w:val="00641CDA"/>
    <w:rsid w:val="0064429C"/>
    <w:rsid w:val="0064612F"/>
    <w:rsid w:val="00650B8C"/>
    <w:rsid w:val="00650BC4"/>
    <w:rsid w:val="006E3FEA"/>
    <w:rsid w:val="006E41BD"/>
    <w:rsid w:val="006E6351"/>
    <w:rsid w:val="006F5B0D"/>
    <w:rsid w:val="006F6E1D"/>
    <w:rsid w:val="00702E1A"/>
    <w:rsid w:val="00707FAB"/>
    <w:rsid w:val="00715E5F"/>
    <w:rsid w:val="00721F04"/>
    <w:rsid w:val="007521AD"/>
    <w:rsid w:val="00755DC4"/>
    <w:rsid w:val="00787143"/>
    <w:rsid w:val="00792C7E"/>
    <w:rsid w:val="007B6FC6"/>
    <w:rsid w:val="007C2ED9"/>
    <w:rsid w:val="007C70DE"/>
    <w:rsid w:val="007D127B"/>
    <w:rsid w:val="007D12B9"/>
    <w:rsid w:val="00812D7B"/>
    <w:rsid w:val="008311C4"/>
    <w:rsid w:val="00837BEE"/>
    <w:rsid w:val="00842759"/>
    <w:rsid w:val="0084582E"/>
    <w:rsid w:val="00850037"/>
    <w:rsid w:val="00860F06"/>
    <w:rsid w:val="00871A84"/>
    <w:rsid w:val="008752B8"/>
    <w:rsid w:val="0088350A"/>
    <w:rsid w:val="00883633"/>
    <w:rsid w:val="008963AE"/>
    <w:rsid w:val="0089653A"/>
    <w:rsid w:val="008A042A"/>
    <w:rsid w:val="008A3010"/>
    <w:rsid w:val="008B210F"/>
    <w:rsid w:val="008C677D"/>
    <w:rsid w:val="008D05B3"/>
    <w:rsid w:val="008F275E"/>
    <w:rsid w:val="008F4A1A"/>
    <w:rsid w:val="00900381"/>
    <w:rsid w:val="00915FFF"/>
    <w:rsid w:val="00917063"/>
    <w:rsid w:val="00921B61"/>
    <w:rsid w:val="0092379F"/>
    <w:rsid w:val="009261F4"/>
    <w:rsid w:val="00935439"/>
    <w:rsid w:val="00946B0E"/>
    <w:rsid w:val="00946FB1"/>
    <w:rsid w:val="009512A6"/>
    <w:rsid w:val="00954CFE"/>
    <w:rsid w:val="00963A7E"/>
    <w:rsid w:val="00966BC7"/>
    <w:rsid w:val="00985DB6"/>
    <w:rsid w:val="0098694C"/>
    <w:rsid w:val="009D3924"/>
    <w:rsid w:val="00A077A0"/>
    <w:rsid w:val="00A14D96"/>
    <w:rsid w:val="00A173DC"/>
    <w:rsid w:val="00A24B6D"/>
    <w:rsid w:val="00A25A0C"/>
    <w:rsid w:val="00A3035D"/>
    <w:rsid w:val="00A4712C"/>
    <w:rsid w:val="00A63541"/>
    <w:rsid w:val="00AC7202"/>
    <w:rsid w:val="00B065EF"/>
    <w:rsid w:val="00B16AA0"/>
    <w:rsid w:val="00B210F4"/>
    <w:rsid w:val="00B30B7D"/>
    <w:rsid w:val="00B31602"/>
    <w:rsid w:val="00B37B33"/>
    <w:rsid w:val="00B43465"/>
    <w:rsid w:val="00B81AD2"/>
    <w:rsid w:val="00BE7826"/>
    <w:rsid w:val="00BF0E03"/>
    <w:rsid w:val="00C00386"/>
    <w:rsid w:val="00C031F6"/>
    <w:rsid w:val="00C31787"/>
    <w:rsid w:val="00C4187F"/>
    <w:rsid w:val="00C442E8"/>
    <w:rsid w:val="00C44ECB"/>
    <w:rsid w:val="00C63AA4"/>
    <w:rsid w:val="00C66E12"/>
    <w:rsid w:val="00CA1FF8"/>
    <w:rsid w:val="00CA5C4A"/>
    <w:rsid w:val="00CB218E"/>
    <w:rsid w:val="00CF6421"/>
    <w:rsid w:val="00D465FD"/>
    <w:rsid w:val="00D611BB"/>
    <w:rsid w:val="00D66325"/>
    <w:rsid w:val="00D94B0B"/>
    <w:rsid w:val="00DB72DC"/>
    <w:rsid w:val="00DB7A61"/>
    <w:rsid w:val="00DD7AD9"/>
    <w:rsid w:val="00DE5A7C"/>
    <w:rsid w:val="00E37425"/>
    <w:rsid w:val="00E43A1C"/>
    <w:rsid w:val="00E572D5"/>
    <w:rsid w:val="00E642C6"/>
    <w:rsid w:val="00E739A2"/>
    <w:rsid w:val="00E90BF4"/>
    <w:rsid w:val="00EA784B"/>
    <w:rsid w:val="00ED367C"/>
    <w:rsid w:val="00ED6035"/>
    <w:rsid w:val="00EF3A4E"/>
    <w:rsid w:val="00F14951"/>
    <w:rsid w:val="00F15753"/>
    <w:rsid w:val="00F47359"/>
    <w:rsid w:val="00F56237"/>
    <w:rsid w:val="00F7176F"/>
    <w:rsid w:val="00F77AD4"/>
    <w:rsid w:val="00FA13B8"/>
    <w:rsid w:val="00FB2489"/>
    <w:rsid w:val="00FB6460"/>
    <w:rsid w:val="00FB76CA"/>
    <w:rsid w:val="00FC64E6"/>
    <w:rsid w:val="00FE5C96"/>
    <w:rsid w:val="00FF5D26"/>
    <w:rsid w:val="00FF74CD"/>
    <w:rsid w:val="3FC2D05D"/>
    <w:rsid w:val="49FC4D54"/>
    <w:rsid w:val="603FF38E"/>
    <w:rsid w:val="72282B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caption"/>
    <w:basedOn w:val="1"/>
    <w:next w:val="1"/>
    <w:semiHidden/>
    <w:unhideWhenUsed/>
    <w:qFormat/>
    <w:uiPriority w:val="35"/>
    <w:rPr>
      <w:rFonts w:eastAsia="黑体" w:asciiTheme="majorHAnsi" w:hAnsiTheme="majorHAnsi" w:cstheme="majorBidi"/>
      <w:sz w:val="20"/>
      <w:szCs w:val="20"/>
    </w:rPr>
  </w:style>
  <w:style w:type="paragraph" w:styleId="3">
    <w:name w:val="Balloon Text"/>
    <w:basedOn w:val="1"/>
    <w:link w:val="12"/>
    <w:semiHidden/>
    <w:unhideWhenUsed/>
    <w:uiPriority w:val="99"/>
    <w:rPr>
      <w:sz w:val="18"/>
      <w:szCs w:val="18"/>
    </w:rPr>
  </w:style>
  <w:style w:type="paragraph" w:styleId="4">
    <w:name w:val="footer"/>
    <w:basedOn w:val="1"/>
    <w:link w:val="11"/>
    <w:unhideWhenUsed/>
    <w:uiPriority w:val="99"/>
    <w:pPr>
      <w:tabs>
        <w:tab w:val="center" w:pos="4153"/>
        <w:tab w:val="right" w:pos="8306"/>
      </w:tabs>
      <w:snapToGrid w:val="0"/>
      <w:jc w:val="left"/>
    </w:pPr>
    <w:rPr>
      <w:sz w:val="18"/>
      <w:szCs w:val="18"/>
    </w:rPr>
  </w:style>
  <w:style w:type="paragraph" w:styleId="5">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uiPriority w:val="99"/>
    <w:pPr>
      <w:widowControl/>
      <w:spacing w:before="100" w:beforeAutospacing="1" w:after="100" w:afterAutospacing="1"/>
      <w:jc w:val="left"/>
    </w:pPr>
    <w:rPr>
      <w:rFonts w:ascii="宋体" w:hAnsi="宋体" w:cs="宋体"/>
      <w:kern w:val="0"/>
      <w:sz w:val="24"/>
    </w:rPr>
  </w:style>
  <w:style w:type="character" w:styleId="9">
    <w:name w:val="Hyperlink"/>
    <w:uiPriority w:val="0"/>
    <w:rPr>
      <w:color w:val="0000FF"/>
      <w:u w:val="single"/>
    </w:rPr>
  </w:style>
  <w:style w:type="character" w:customStyle="1" w:styleId="10">
    <w:name w:val="页眉 字符"/>
    <w:link w:val="5"/>
    <w:uiPriority w:val="99"/>
    <w:rPr>
      <w:kern w:val="2"/>
      <w:sz w:val="18"/>
      <w:szCs w:val="18"/>
    </w:rPr>
  </w:style>
  <w:style w:type="character" w:customStyle="1" w:styleId="11">
    <w:name w:val="页脚 字符"/>
    <w:link w:val="4"/>
    <w:uiPriority w:val="99"/>
    <w:rPr>
      <w:kern w:val="2"/>
      <w:sz w:val="18"/>
      <w:szCs w:val="18"/>
    </w:rPr>
  </w:style>
  <w:style w:type="character" w:customStyle="1" w:styleId="12">
    <w:name w:val="批注框文本 字符"/>
    <w:basedOn w:val="8"/>
    <w:link w:val="3"/>
    <w:semiHidden/>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oleObject" Target="embeddings/oleObject1.bin"/><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jpe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ompany>
  <Pages>22</Pages>
  <Words>8153</Words>
  <Characters>9076</Characters>
  <Lines>71</Lines>
  <Paragraphs>20</Paragraphs>
  <TotalTime>1</TotalTime>
  <ScaleCrop>false</ScaleCrop>
  <LinksUpToDate>false</LinksUpToDate>
  <CharactersWithSpaces>9686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2026-05-18T02:44:00Z</dcterms:created>
  <dc:creator>张波</dc:creator>
  <cp:lastModifiedBy>严禹</cp:lastModifiedBy>
  <cp:lastPrinted>2013-03-05T19:26:00Z</cp:lastPrinted>
  <dcterms:modified xsi:type="dcterms:W3CDTF">2026-05-17T16:17:17Z</dcterms:modified>
  <dc:title>_x0001_</dc:title>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eyJoZGlkIjoiMmRiN2I3NTQ2OWYwNGQzNDVmMDc0ZmFiNTUwOWYzNzciLCJ1c2VySWQiOiI4NDE5Mjc2NjkifQ==</vt:lpwstr>
  </property>
  <property fmtid="{D5CDD505-2E9C-101B-9397-08002B2CF9AE}" pid="4" name="ICV">
    <vt:lpwstr>65BFA9A86BF441899B0961F59485ED27_12</vt:lpwstr>
  </property>
</Properties>
</file>