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UNIVERSIDAD PERUANA UNIÓN</w:t>
      </w:r>
    </w:p>
    <w:p>
      <w:pPr>
        <w:jc w:val="center"/>
      </w:pPr>
      <w:r>
        <w:t>FACULTAD DE INGENIERÍA Y ARQUITECTURA</w:t>
      </w:r>
    </w:p>
    <w:p>
      <w:pPr>
        <w:jc w:val="center"/>
      </w:pPr>
      <w:r>
        <w:t>E. P. DE INGENIERÍA DE SISTEMAS</w:t>
      </w:r>
    </w:p>
    <w:p/>
    <w:p>
      <w:pPr>
        <w:pStyle w:val="Title"/>
      </w:pPr>
      <w:r>
        <w:t>Revisión del Project Charter y planificación del Sprint 1</w:t>
      </w:r>
    </w:p>
    <w:p>
      <w:pPr>
        <w:pStyle w:val="Subtitle"/>
      </w:pPr>
      <w:r>
        <w:t>Sistema Web de Gestión Odontológica para la Clínica Dental Cárdenas</w:t>
      </w:r>
    </w:p>
    <w:p>
      <w:r>
        <w:t>Docente: Omar Leonel Loaiza Jara</w:t>
      </w:r>
    </w:p>
    <w:p>
      <w:r>
        <w:t>Integrantes según el Charter</w:t>
      </w:r>
    </w:p>
    <w:p>
      <w:r>
        <w:t>Hoyos Callacondo Ángel David</w:t>
      </w:r>
    </w:p>
    <w:p>
      <w:r>
        <w:t>Ancajima Tripul Rony Alonso</w:t>
      </w:r>
    </w:p>
    <w:p>
      <w:r>
        <w:t>Perez Salcedo Axel Jackson</w:t>
      </w:r>
    </w:p>
    <w:p>
      <w:r>
        <w:t>Vasquez Toro Gabriel Mesías</w:t>
      </w:r>
    </w:p>
    <w:p>
      <w:r>
        <w:t>Paredes Cardenaz Juan Tomas</w:t>
      </w:r>
    </w:p>
    <w:p>
      <w:r>
        <w:t>Lima, 22 de octubre de 2026</w:t>
      </w:r>
    </w:p>
    <w:p>
      <w:r>
        <w:t>Versión de trabajo 1.0. Propuesta académica para revisión del equipo y del representante autorizado. No acredita aceptación del cliente ni ejecución histórica de eventos Scrum.</w:t>
      </w:r>
    </w:p>
    <w:p>
      <w:r>
        <w:t>Portada institucional basada en el documento aportado. No se dispone de una plantilla oficial adicional ni se reproduce un logotipo no aportado.</w:t>
      </w:r>
    </w:p>
    <w:p>
      <w:r>
        <w:br w:type="page"/>
      </w:r>
    </w:p>
    <w:p>
      <w:pPr>
        <w:pStyle w:val="Heading1"/>
      </w:pPr>
      <w:r>
        <w:t>1 Resultado de la revisión</w:t>
      </w:r>
    </w:p>
    <w:p>
      <w:r>
        <w:t>La selección HU-01, HU-02 y HU-12 es coherente con el Sprint 1 de identidad, seguridad y pacientes del Charter. Se recomienda conservarla y someter a estimación del equipo la propuesta de 21 Story Points. Los 18 puntos del planteamiento inicial y los 21 del repositorio son estimaciones propuestas. El Charter no fija puntuaciones.</w:t>
      </w:r>
    </w:p>
    <w:p>
      <w:r>
        <w:t>El Sprint original abarca del 30 de septiembre al 7 de octubre de 2026. Esta revisión del 22 de octubre ocurre 15 días después del cierre previsto. Las evidencias actuales no demuestran que el trabajo se haya ejecutado dentro de ese periodo. No corresponde reconstruir actas, porcentajes de avance o aceptación sin registros reales.</w:t>
      </w:r>
    </w:p>
    <w:tbl>
      <w:tblPr>
        <w:tblW w:type="auto" w:w="0"/>
        <w:tblLayout w:type="fixed"/>
        <w:tblLook w:firstColumn="1" w:firstRow="1" w:lastColumn="0" w:lastRow="0" w:noHBand="0" w:noVBand="1" w:val="04A0"/>
      </w:tblPr>
      <w:tblGrid>
        <w:gridCol w:w="4592"/>
        <w:gridCol w:w="4592"/>
      </w:tblGrid>
      <w:tr>
        <w:trPr>
          <w:cantSplit/>
        </w:trPr>
        <w:tc>
          <w:tcPr>
            <w:tcW w:type="dxa" w:w="2835"/>
            <w:tcBorders>
              <w:top w:val="single" w:sz="4" w:color="D9D9D9"/>
              <w:left w:val="single" w:sz="4" w:color="D9D9D9"/>
              <w:bottom w:val="single" w:sz="4" w:color="D9D9D9"/>
              <w:right w:val="single" w:sz="4" w:color="D9D9D9"/>
            </w:tcBorders>
            <w:shd w:fill="DFE8F0"/>
          </w:tcPr>
          <w:p>
            <w:pPr>
              <w:spacing w:after="80" w:before="80"/>
            </w:pPr>
            <w:r>
              <w:rPr>
                <w:b/>
                <w:sz w:val="18"/>
              </w:rPr>
              <w:t>Documento o recurso</w:t>
            </w:r>
          </w:p>
        </w:tc>
        <w:tc>
          <w:tcPr>
            <w:tcW w:type="dxa" w:w="6350"/>
            <w:tcBorders>
              <w:top w:val="single" w:sz="4" w:color="D9D9D9"/>
              <w:left w:val="single" w:sz="4" w:color="D9D9D9"/>
              <w:bottom w:val="single" w:sz="4" w:color="D9D9D9"/>
              <w:right w:val="single" w:sz="4" w:color="D9D9D9"/>
            </w:tcBorders>
            <w:shd w:fill="DFE8F0"/>
          </w:tcPr>
          <w:p>
            <w:pPr>
              <w:spacing w:after="80" w:before="80"/>
            </w:pPr>
            <w:r>
              <w:rPr>
                <w:b/>
                <w:sz w:val="18"/>
              </w:rPr>
              <w:t>Uso y límite</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Project Charter aportado</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Versión 1.1 del 17/09/2026 pendiente de validación del cliente. Fuente directa de alcance, historias, responsables y calendario.</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Repositorio main</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Commit inspeccionado 235502c738ca3e0256710a901fc7e4b5a02326cb. Código, pruebas, documentación y flujos de CI.</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Chat anterior</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Vista recuperada truncada y sin adjuntos. Fuente del planteamiento preliminar 8 + 5 + 5.</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Guía de Scrum 2020</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Referencia metodológica. Fibonacci y DoR son prácticas complementarias, no requisitos prescritos por Scrum.</w:t>
            </w:r>
          </w:p>
        </w:tc>
      </w:tr>
    </w:tbl>
    <w:p>
      <w:pPr>
        <w:pStyle w:val="Heading2"/>
      </w:pPr>
      <w:r>
        <w:t>Decisiones pendientes</w:t>
      </w:r>
    </w:p>
    <w:p>
      <w:r>
        <w:t>Confirmar al representante autorizado que asumirá Product Owner; validar la matriz de permisos, los criterios y la estimación; registrar capacidad disponible; obtener evidencia integrada con MySQL y mantener separados el incremento técnico y la conformidad del cliente.</w:t>
      </w:r>
    </w:p>
    <w:p>
      <w:r>
        <w:br w:type="page"/>
      </w:r>
    </w:p>
    <w:p>
      <w:pPr>
        <w:pStyle w:val="Heading1"/>
      </w:pPr>
      <w:r>
        <w:t>2 Contraste y adenda propuesta al Charter</w:t>
      </w:r>
    </w:p>
    <w:p>
      <w:r>
        <w:t>Esta adenda conserva el documento original. No modifica su fecha, firmas o estado de aprobación. Toda ampliación de alcance o reprogramación debe incorporarse mediante control de cambios, como exige su sección 19.</w:t>
      </w:r>
    </w:p>
    <w:p>
      <w:pPr>
        <w:pStyle w:val="Heading2"/>
      </w:pPr>
      <w:r>
        <w:t>Selección de historias</w:t>
      </w:r>
    </w:p>
    <w:p>
      <w:r>
        <w:t>HU-01, HU-02 y HU-12 alineadas con identidad, seguridad y pacientes. Conservar selección, condicionada a capacidad y preparación. Fuente: Charter 13.1 y 14.</w:t>
      </w:r>
    </w:p>
    <w:p>
      <w:pPr>
        <w:pStyle w:val="Heading2"/>
      </w:pPr>
      <w:r>
        <w:t>Estimación</w:t>
      </w:r>
    </w:p>
    <w:p>
      <w:r>
        <w:t>18 SP preliminares frente a propuesta 21 SP del repositorio. Documentar 8 + 5 + 8 como propuesta, validar con Developers. Fuente: Charter 13.1 no contiene puntos.</w:t>
      </w:r>
    </w:p>
    <w:p>
      <w:pPr>
        <w:pStyle w:val="Heading2"/>
      </w:pPr>
      <w:r>
        <w:t>Calendario</w:t>
      </w:r>
    </w:p>
    <w:p>
      <w:r>
        <w:t>Sprint 1 del 30/09 al 07/10/2026. Corte de esta revisión 22/10/2026. No atribuir cambios actuales al periodo original. Reprogramar solo por decisión registrada. Fuente: Charter 14.</w:t>
      </w:r>
    </w:p>
    <w:p>
      <w:pPr>
        <w:pStyle w:val="Heading2"/>
      </w:pPr>
      <w:r>
        <w:t>PO y aprobación</w:t>
      </w:r>
    </w:p>
    <w:p>
      <w:r>
        <w:t>Representante del cliente sin confirmar y versión 1.1 pendiente de validación. Obtener designación y conformidad. El equipo académico no sustituye al PO sin delegación. Fuente: Charter 1, 13 y control de versiones.</w:t>
      </w:r>
    </w:p>
    <w:p>
      <w:pPr>
        <w:pStyle w:val="Heading2"/>
      </w:pPr>
      <w:r>
        <w:t>Línea base</w:t>
      </w:r>
    </w:p>
    <w:p>
      <w:r>
        <w:t>Medición prevista sin acta ni resultados aportados. Mantener indicadores como metas. No afirmar reducción de tiempos ni duplicados. Fuente: Charter 7.1.</w:t>
      </w:r>
    </w:p>
    <w:p>
      <w:pPr>
        <w:pStyle w:val="Heading2"/>
      </w:pPr>
      <w:r>
        <w:t>Precisiones del calendario</w:t>
      </w:r>
    </w:p>
    <w:p>
      <w:r>
        <w:t>La planificación semanal es aproximada. El intervalo 30/09–07/10 comprende ocho fechas calendario contando ambos extremos. Deben acordarse hora de inicio y cierre, días hábiles efectivos y disponibilidad, sin convertir días calendario en capacidad de desarrollo.</w:t>
      </w:r>
    </w:p>
    <w:p>
      <w:pPr>
        <w:pStyle w:val="Heading2"/>
      </w:pPr>
      <w:r>
        <w:t>Control de cambio propuesto</w:t>
      </w:r>
    </w:p>
    <w:tbl>
      <w:tblPr>
        <w:tblW w:type="auto" w:w="0"/>
        <w:tblLayout w:type="fixed"/>
        <w:tblLook w:firstColumn="1" w:firstRow="1" w:lastColumn="0" w:lastRow="0" w:noHBand="0" w:noVBand="1" w:val="04A0"/>
      </w:tblPr>
      <w:tblGrid>
        <w:gridCol w:w="4592"/>
        <w:gridCol w:w="4592"/>
      </w:tblGrid>
      <w:tr>
        <w:trPr>
          <w:cantSplit/>
        </w:trPr>
        <w:tc>
          <w:tcPr>
            <w:tcW w:type="dxa" w:w="2268"/>
            <w:tcBorders>
              <w:top w:val="single" w:sz="4" w:color="D9D9D9"/>
              <w:left w:val="single" w:sz="4" w:color="D9D9D9"/>
              <w:bottom w:val="single" w:sz="4" w:color="D9D9D9"/>
              <w:right w:val="single" w:sz="4" w:color="D9D9D9"/>
            </w:tcBorders>
            <w:shd w:fill="DFE8F0"/>
          </w:tcPr>
          <w:p>
            <w:pPr>
              <w:spacing w:after="80" w:before="80"/>
            </w:pPr>
            <w:r>
              <w:rPr>
                <w:b/>
                <w:sz w:val="18"/>
              </w:rPr>
              <w:t>Campo</w:t>
            </w:r>
          </w:p>
        </w:tc>
        <w:tc>
          <w:tcPr>
            <w:tcW w:type="dxa" w:w="6917"/>
            <w:tcBorders>
              <w:top w:val="single" w:sz="4" w:color="D9D9D9"/>
              <w:left w:val="single" w:sz="4" w:color="D9D9D9"/>
              <w:bottom w:val="single" w:sz="4" w:color="D9D9D9"/>
              <w:right w:val="single" w:sz="4" w:color="D9D9D9"/>
            </w:tcBorders>
            <w:shd w:fill="DFE8F0"/>
          </w:tcPr>
          <w:p>
            <w:pPr>
              <w:spacing w:after="80" w:before="80"/>
            </w:pPr>
            <w:r>
              <w:rPr>
                <w:b/>
                <w:sz w:val="18"/>
              </w:rPr>
              <w:t>Contenido</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ID</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CC-S1-01 propuesto</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Cambio</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Estimar HU-12 en 8 y total en 21 SP; no cambia alcance funcional.</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Motivo</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Controles y casos de seguridad exigidos por HU-12 del Charter.</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Impacto</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Mayor tamaño relativo; revisar capacidad y riesgos antes de seleccionar.</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Decisión</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Pendiente de Developers y PO. Fecha de aprobación sin registrar.</w:t>
            </w:r>
          </w:p>
        </w:tc>
      </w:tr>
    </w:tbl>
    <w:p>
      <w:r>
        <w:br w:type="page"/>
      </w:r>
    </w:p>
    <w:p>
      <w:pPr>
        <w:pStyle w:val="Heading1"/>
      </w:pPr>
      <w:r>
        <w:t>3 Alcance y riesgos de la entrega</w:t>
      </w:r>
    </w:p>
    <w:p>
      <w:pPr>
        <w:pStyle w:val="Heading2"/>
      </w:pPr>
      <w:r>
        <w:t>Alcance ampliado</w:t>
      </w:r>
    </w:p>
    <w:p>
      <w:r>
        <w:t>Repositorio incluye multiclínica, FINANZAS y módulos de sprints posteriores. Registrar diferencias mediante control de cambios. No contabilizarlas como nuevo Sprint 1. Fuente: README y docs/MULTICLINICA.md.</w:t>
      </w:r>
    </w:p>
    <w:p>
      <w:pPr>
        <w:pStyle w:val="Heading2"/>
      </w:pPr>
      <w:r>
        <w:t>Permisos de pacientes</w:t>
      </w:r>
    </w:p>
    <w:p>
      <w:r>
        <w:t>Tabla indica Finanzas sin acceso a Pacientes; API permite search y get a FINANZAS. Aclarar si consulta financiera limitada es excepción aprobada o ajustar contrato y pruebas. No cambiar permisos sin decidir la regla. Fuente: MATRIZ-DE-PERMISOS.md y PatientController.java.</w:t>
      </w:r>
    </w:p>
    <w:p>
      <w:pPr>
        <w:pStyle w:val="Heading2"/>
      </w:pPr>
      <w:r>
        <w:t>Pruebas y aceptación</w:t>
      </w:r>
    </w:p>
    <w:p>
      <w:r>
        <w:t>CI exitoso y pruebas existentes no acreditan UAT ni reuniones. Separar inspección de código, ejecución automatizada, ensayo integrado y conformidad. Fuente: SPRINT-1.md y GitHub Actions.</w:t>
      </w:r>
    </w:p>
    <w:p>
      <w:pPr>
        <w:pStyle w:val="Heading2"/>
      </w:pPr>
      <w:r>
        <w:t>Publicación</w:t>
      </w:r>
    </w:p>
    <w:p>
      <w:r>
        <w:t>Pages sirve frontend y configuración pública sin backend HTTPS. La publicación estática no acredita operación de usuarios, pacientes u OTP. Fuente: pages.yml y deployment-config.js.</w:t>
      </w:r>
    </w:p>
    <w:p>
      <w:pPr>
        <w:pStyle w:val="Heading2"/>
      </w:pPr>
      <w:r>
        <w:t>Gobernanza del Charter</w:t>
      </w:r>
    </w:p>
    <w:p>
      <w:r>
        <w:t>Emisión académica no equivale a aceptación del cliente. Conservar versión original y documentar adenda sin firma inventada. Fuente: Charter 19 y control de versiones.</w:t>
      </w:r>
    </w:p>
    <w:p>
      <w:pPr>
        <w:pStyle w:val="Heading2"/>
      </w:pPr>
      <w:r>
        <w:t>Límites funcionales del Sprint 1</w:t>
      </w:r>
    </w:p>
    <w:p>
      <w:r>
        <w:t>Incluye identidad, roles, autorización, pacientes y recuperación controlada. Agenda, odontograma, pagos y reportes conservan sus historias HU-03 a HU-11 y su priorización futura. La existencia previa de código de esos módulos no demuestra entrega ni aceptación del Sprint 1.</w:t>
      </w:r>
    </w:p>
    <w:p>
      <w:r>
        <w:t>La consulta financiera a pacientes requiere una decisión explícita: la tabla documental marca FINANZAS sin acceso, pero los métodos search y get del controlador la permiten. Se debe precisar qué datos puede ver ese rol y probar el contrato resultante. Esta revisión no cambia permisos de la aplicación.</w:t>
      </w:r>
    </w:p>
    <w:p>
      <w:r>
        <w:br w:type="page"/>
      </w:r>
    </w:p>
    <w:p>
      <w:pPr>
        <w:pStyle w:val="Heading1"/>
      </w:pPr>
      <w:r>
        <w:t>4 Sprint Goal y estimación Fibonacci</w:t>
      </w:r>
    </w:p>
    <w:p>
      <w:r>
        <w:t>Habilitar una base segura para gestionar usuarios y permisos, registrar y buscar pacientes y recuperar el acceso mediante OTP controlado, con trazabilidad verificable.</w:t>
      </w:r>
    </w:p>
    <w:tbl>
      <w:tblPr>
        <w:tblW w:type="auto" w:w="0"/>
        <w:tblLayout w:type="fixed"/>
        <w:tblLook w:firstColumn="1" w:firstRow="1" w:lastColumn="0" w:lastRow="0" w:noHBand="0" w:noVBand="1" w:val="04A0"/>
      </w:tblPr>
      <w:tblGrid>
        <w:gridCol w:w="3061"/>
        <w:gridCol w:w="3061"/>
        <w:gridCol w:w="3061"/>
      </w:tblGrid>
      <w:tr>
        <w:trPr>
          <w:cantSplit/>
        </w:trPr>
        <w:tc>
          <w:tcPr>
            <w:tcW w:type="dxa" w:w="6350"/>
            <w:tcBorders>
              <w:top w:val="single" w:sz="4" w:color="D9D9D9"/>
              <w:left w:val="single" w:sz="4" w:color="D9D9D9"/>
              <w:bottom w:val="single" w:sz="4" w:color="D9D9D9"/>
              <w:right w:val="single" w:sz="4" w:color="D9D9D9"/>
            </w:tcBorders>
            <w:shd w:fill="DFE8F0"/>
          </w:tcPr>
          <w:p>
            <w:pPr>
              <w:spacing w:after="80" w:before="80"/>
            </w:pPr>
            <w:r>
              <w:rPr>
                <w:b/>
                <w:sz w:val="18"/>
              </w:rPr>
              <w:t>Historia</w:t>
            </w:r>
          </w:p>
        </w:tc>
        <w:tc>
          <w:tcPr>
            <w:tcW w:type="dxa" w:w="1417"/>
            <w:tcBorders>
              <w:top w:val="single" w:sz="4" w:color="D9D9D9"/>
              <w:left w:val="single" w:sz="4" w:color="D9D9D9"/>
              <w:bottom w:val="single" w:sz="4" w:color="D9D9D9"/>
              <w:right w:val="single" w:sz="4" w:color="D9D9D9"/>
            </w:tcBorders>
            <w:shd w:fill="DFE8F0"/>
          </w:tcPr>
          <w:p>
            <w:pPr>
              <w:spacing w:after="80" w:before="80"/>
            </w:pPr>
            <w:r>
              <w:rPr>
                <w:b/>
                <w:sz w:val="18"/>
              </w:rPr>
              <w:t>Inicial SP</w:t>
            </w:r>
          </w:p>
        </w:tc>
        <w:tc>
          <w:tcPr>
            <w:tcW w:type="dxa" w:w="1417"/>
            <w:tcBorders>
              <w:top w:val="single" w:sz="4" w:color="D9D9D9"/>
              <w:left w:val="single" w:sz="4" w:color="D9D9D9"/>
              <w:bottom w:val="single" w:sz="4" w:color="D9D9D9"/>
              <w:right w:val="single" w:sz="4" w:color="D9D9D9"/>
            </w:tcBorders>
            <w:shd w:fill="DFE8F0"/>
          </w:tcPr>
          <w:p>
            <w:pPr>
              <w:spacing w:after="80" w:before="80"/>
            </w:pPr>
            <w:r>
              <w:rPr>
                <w:b/>
                <w:sz w:val="18"/>
              </w:rPr>
              <w:t>Propuesta SP</w:t>
            </w:r>
          </w:p>
        </w:tc>
      </w:tr>
      <w:tr>
        <w:trPr>
          <w:cantSplit/>
        </w:trPr>
        <w:tc>
          <w:tcPr>
            <w:tcW w:type="dxa" w:w="6350"/>
            <w:tcBorders>
              <w:top w:val="single" w:sz="4" w:color="D9D9D9"/>
              <w:left w:val="single" w:sz="4" w:color="D9D9D9"/>
              <w:bottom w:val="single" w:sz="4" w:color="D9D9D9"/>
              <w:right w:val="single" w:sz="4" w:color="D9D9D9"/>
            </w:tcBorders>
          </w:tcPr>
          <w:p>
            <w:pPr>
              <w:spacing w:after="80" w:before="80"/>
            </w:pPr>
            <w:r>
              <w:rPr>
                <w:sz w:val="18"/>
              </w:rPr>
              <w:t>HU-01 Gestionar usuarios y roles</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8</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8</w:t>
            </w:r>
          </w:p>
        </w:tc>
      </w:tr>
      <w:tr>
        <w:trPr>
          <w:cantSplit/>
        </w:trPr>
        <w:tc>
          <w:tcPr>
            <w:tcW w:type="dxa" w:w="6350"/>
            <w:tcBorders>
              <w:top w:val="single" w:sz="4" w:color="D9D9D9"/>
              <w:left w:val="single" w:sz="4" w:color="D9D9D9"/>
              <w:bottom w:val="single" w:sz="4" w:color="D9D9D9"/>
              <w:right w:val="single" w:sz="4" w:color="D9D9D9"/>
            </w:tcBorders>
          </w:tcPr>
          <w:p>
            <w:pPr>
              <w:spacing w:after="80" w:before="80"/>
            </w:pPr>
            <w:r>
              <w:rPr>
                <w:sz w:val="18"/>
              </w:rPr>
              <w:t>HU-02 Registrar y buscar pacientes</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5</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5</w:t>
            </w:r>
          </w:p>
        </w:tc>
      </w:tr>
      <w:tr>
        <w:trPr>
          <w:cantSplit/>
        </w:trPr>
        <w:tc>
          <w:tcPr>
            <w:tcW w:type="dxa" w:w="6350"/>
            <w:tcBorders>
              <w:top w:val="single" w:sz="4" w:color="D9D9D9"/>
              <w:left w:val="single" w:sz="4" w:color="D9D9D9"/>
              <w:bottom w:val="single" w:sz="4" w:color="D9D9D9"/>
              <w:right w:val="single" w:sz="4" w:color="D9D9D9"/>
            </w:tcBorders>
          </w:tcPr>
          <w:p>
            <w:pPr>
              <w:spacing w:after="80" w:before="80"/>
            </w:pPr>
            <w:r>
              <w:rPr>
                <w:sz w:val="18"/>
              </w:rPr>
              <w:t>HU-12 Recuperar acceso mediante OTP</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5</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8</w:t>
            </w:r>
          </w:p>
        </w:tc>
      </w:tr>
      <w:tr>
        <w:trPr>
          <w:cantSplit/>
        </w:trPr>
        <w:tc>
          <w:tcPr>
            <w:tcW w:type="dxa" w:w="6350"/>
            <w:tcBorders>
              <w:top w:val="single" w:sz="4" w:color="D9D9D9"/>
              <w:left w:val="single" w:sz="4" w:color="D9D9D9"/>
              <w:bottom w:val="single" w:sz="4" w:color="D9D9D9"/>
              <w:right w:val="single" w:sz="4" w:color="D9D9D9"/>
            </w:tcBorders>
          </w:tcPr>
          <w:p>
            <w:pPr>
              <w:spacing w:after="80" w:before="80"/>
            </w:pPr>
            <w:r>
              <w:rPr>
                <w:sz w:val="18"/>
              </w:rPr>
              <w:t>Total</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18</w:t>
            </w:r>
          </w:p>
        </w:tc>
        <w:tc>
          <w:tcPr>
            <w:tcW w:type="dxa" w:w="1417"/>
            <w:tcBorders>
              <w:top w:val="single" w:sz="4" w:color="D9D9D9"/>
              <w:left w:val="single" w:sz="4" w:color="D9D9D9"/>
              <w:bottom w:val="single" w:sz="4" w:color="D9D9D9"/>
              <w:right w:val="single" w:sz="4" w:color="D9D9D9"/>
            </w:tcBorders>
          </w:tcPr>
          <w:p>
            <w:pPr>
              <w:spacing w:after="80" w:before="80"/>
            </w:pPr>
            <w:r>
              <w:rPr>
                <w:sz w:val="18"/>
              </w:rPr>
              <w:t>21</w:t>
            </w:r>
          </w:p>
        </w:tc>
      </w:tr>
    </w:tbl>
    <w:p>
      <w:pPr>
        <w:pStyle w:val="Heading2"/>
      </w:pPr>
      <w:r>
        <w:t>Fundamento de la estimación</w:t>
      </w:r>
    </w:p>
    <w:p>
      <w:r>
        <w:t>Usar la secuencia 1, 2, 3, 5, 8, 13 y 21 para expresar tamaño relativo considerando esfuerzo, complejidad e incertidumbre. HU-02 sirve de referencia de 5 puntos. Cada Developer estima de forma individual, se revelan votos, se discuten extremos y se repite hasta un acuerdo. Registrar participantes, fecha, votos y justificación reales. No se realizó Planning Poker durante esta revisión.</w:t>
      </w:r>
    </w:p>
    <w:p>
      <w:r>
        <w:t>HU-01: Referencia de mayor complejidad: matriz RBAC, cambio de permisos, revocación de sesiones y bitácora. Mantener 8 sujeto al consenso de Developers.</w:t>
      </w:r>
    </w:p>
    <w:p>
      <w:r>
        <w:t>HU-02: Referencia intermedia: ficha, validaciones, unicidad por documento y tres búsquedas. Se mantiene 5 si la ficha y reglas quedan cerradas.</w:t>
      </w:r>
    </w:p>
    <w:p>
      <w:r>
        <w:t>HU-12: Propuesta de aumento de 5 a 8 por solicitud previa, expiración, intentos, consumo único, no enumeración, auditoría e invalidación de sesiones. No es una votación realizada ni un punto impuesto por el Charter.</w:t>
      </w:r>
    </w:p>
    <w:p>
      <w:pPr>
        <w:pStyle w:val="Heading2"/>
      </w:pPr>
      <w:r>
        <w:t>Capacidad y selección</w:t>
      </w:r>
    </w:p>
    <w:p>
      <w:r>
        <w:t>Los puntos no equivalen a horas, días ni porcentaje de avance. Sin velocidad histórica y disponibilidad real no se acredita que 21 SP sean viables. Developers registran días disponibles, horas efectivas y ausencias, estiman tareas y seleccionan lo alcanzable junto con PO. Si no cabe el alcance, se renegocia la selección conservando el objetivo y los controles mínimos de seguridad. No se impone una reducción numérica sin consenso.</w:t>
      </w:r>
    </w:p>
    <w:p>
      <w:r>
        <w:br w:type="page"/>
      </w:r>
    </w:p>
    <w:p>
      <w:pPr>
        <w:pStyle w:val="Heading1"/>
      </w:pPr>
      <w:r>
        <w:t>5 Tarjeta HU-01</w:t>
      </w:r>
    </w:p>
    <w:p>
      <w:pPr>
        <w:pStyle w:val="Subtitle"/>
      </w:pPr>
      <w:r>
        <w:t>Gestionar usuarios y roles</w:t>
      </w:r>
    </w:p>
    <w:p>
      <w:r>
        <w:t>Como Administrador, quiero gestionar usuarios y roles, para controlar quién accede a cada módulo.</w:t>
      </w:r>
    </w:p>
    <w:p>
      <w:r>
        <w:t>Prioridad del Charter: Alta. Tamaño propuesto: 8 SP. Estado: pendiente de validar criterios, estimación y cierre integrado.</w:t>
      </w:r>
    </w:p>
    <w:p>
      <w:pPr>
        <w:pStyle w:val="Heading2"/>
      </w:pPr>
      <w:r>
        <w:t>Criterios de aceptación verificables</w:t>
      </w:r>
    </w:p>
    <w:p>
      <w:r>
        <w:t>CA-01.1 Dado un ADMIN autenticado, cuando crea un usuario válido y asigna un rol autorizado, entonces se registra la cuenta y sus permisos corresponden a la matriz acordada.</w:t>
      </w:r>
    </w:p>
    <w:p>
      <w:r>
        <w:t>CA-01.2 Dado un usuario con sesión activa, cuando ADMIN cambia su rol o lo bloquea, entonces el siguiente acceso con la sesión previa se rechaza y se aplican los nuevos permisos tras autenticar de nuevo.</w:t>
      </w:r>
    </w:p>
    <w:p>
      <w:r>
        <w:t>CA-01.3 Dado un usuario sin rol ADMIN, cuando invoca la administración de usuarios, entonces la API deniega la operación aunque se acceda por URL directa.</w:t>
      </w:r>
    </w:p>
    <w:p>
      <w:r>
        <w:t>CA-01.4 Dada una asignación o retiro de rol, cuando se guarda, entonces la bitácora conserva actor, fecha, usuario afectado y rol anterior y nuevo sin almacenar contraseñas ni OTP.</w:t>
      </w:r>
    </w:p>
    <w:p>
      <w:pPr>
        <w:pStyle w:val="Heading2"/>
      </w:pPr>
      <w:r>
        <w:t>Definition of Ready de la historia</w:t>
      </w:r>
    </w:p>
    <w:p>
      <w:r>
        <w:t>Matriz ADMIN, RECEPCION y DOCTOR acordada; reglas de alta, bloqueo y retiro de rol aclaradas; cuenta de ensayo disponible; casos de acceso permitido y denegado definidos.</w:t>
      </w:r>
    </w:p>
    <w:p>
      <w:pPr>
        <w:pStyle w:val="Heading2"/>
      </w:pPr>
      <w:r>
        <w:t>Definition of Done de la historia</w:t>
      </w:r>
    </w:p>
    <w:p>
      <w:r>
        <w:t>Asignación y retiro de permisos contrastados en API e interfaz; sesiones anteriores rechazadas tras cambio relevante; bitácora verificable con actor, fecha y cambio; pruebas y revisión enlazadas.</w:t>
      </w:r>
    </w:p>
    <w:p>
      <w:r>
        <w:t>Aplicar también las reglas comunes del apartado 8. Evidencia a enlazar: ID del caso, versión, entorno, fecha, ejecutor, resultado real y captura o log sanitizado. Ninguna casilla se declara cumplida por el solo hecho de estar redactada.</w:t>
      </w:r>
    </w:p>
    <w:p>
      <w:r>
        <w:t>Trazabilidad: Charter 13.1; auth-service/src/main/java/pe/clinica/cardenas/authservice/web/UserAdminController.java; docs/SPRINT-1.md del repositorio.</w:t>
      </w:r>
    </w:p>
    <w:p>
      <w:r>
        <w:br w:type="page"/>
      </w:r>
    </w:p>
    <w:p>
      <w:pPr>
        <w:pStyle w:val="Heading1"/>
      </w:pPr>
      <w:r>
        <w:t>6 Tarjeta HU-02</w:t>
      </w:r>
    </w:p>
    <w:p>
      <w:pPr>
        <w:pStyle w:val="Subtitle"/>
      </w:pPr>
      <w:r>
        <w:t>Registrar y buscar pacientes</w:t>
      </w:r>
    </w:p>
    <w:p>
      <w:r>
        <w:t>Como Recepcionista, quiero registrar y buscar un paciente, para evitar duplicados y disponer de su información.</w:t>
      </w:r>
    </w:p>
    <w:p>
      <w:r>
        <w:t>Prioridad del Charter: Alta. Tamaño propuesto: 5 SP. Estado: pendiente de validar criterios, estimación y cierre integrado.</w:t>
      </w:r>
    </w:p>
    <w:p>
      <w:pPr>
        <w:pStyle w:val="Heading2"/>
      </w:pPr>
      <w:r>
        <w:t>Criterios de aceptación verificables</w:t>
      </w:r>
    </w:p>
    <w:p>
      <w:r>
        <w:t>CA-02.1 Dada Recepción autenticada y una ficha válida, cuando registra un documento nuevo, entonces el paciente se guarda y puede recuperarse en la clínica correspondiente.</w:t>
      </w:r>
    </w:p>
    <w:p>
      <w:r>
        <w:t>CA-02.2 Dado un documento existente, cuando se intenta registrar de nuevo, entonces el sistema advierte la coincidencia y no crea otro paciente; la API devuelve conflicto 409.</w:t>
      </w:r>
    </w:p>
    <w:p>
      <w:r>
        <w:t>CA-02.3 Dado un paciente de ensayo, cuando se busca por documento, nombre o teléfono con al menos dos caracteres, entonces aparece el registro correcto; una búsqueda sin coincidencias devuelve lista vacía.</w:t>
      </w:r>
    </w:p>
    <w:p>
      <w:r>
        <w:t>CA-02.4 Dadas dos solicitudes concurrentes con el mismo documento en la misma clínica, cuando se procesan, entonces existe un solo registro persistido y se informa el conflicto restante.</w:t>
      </w:r>
    </w:p>
    <w:p>
      <w:r>
        <w:t>CA-02.5 Dada una cuenta sin permiso de escritura, cuando intenta crear o editar pacientes, entonces se rechaza la operación; el aislamiento entre clínicas se verifica con datos ficticios.</w:t>
      </w:r>
    </w:p>
    <w:p>
      <w:pPr>
        <w:pStyle w:val="Heading2"/>
      </w:pPr>
      <w:r>
        <w:t>Definition of Ready de la historia</w:t>
      </w:r>
    </w:p>
    <w:p>
      <w:r>
        <w:t>Ficha mínima y formatos acordados; definición de duplicado por documento dentro de la clínica confirmada; datos ficticios para las tres búsquedas; dependencia de autenticación disponible.</w:t>
      </w:r>
    </w:p>
    <w:p>
      <w:pPr>
        <w:pStyle w:val="Heading2"/>
      </w:pPr>
      <w:r>
        <w:t>Definition of Done de la historia</w:t>
      </w:r>
    </w:p>
    <w:p>
      <w:r>
        <w:t>Registro y persistencia comprobados en ensayo MySQL; búsqueda por documento, nombre y teléfono; duplicado secuencial y concurrente rechazado sin duplicar registros; acceso por rol y clínica contrastado.</w:t>
      </w:r>
    </w:p>
    <w:p>
      <w:r>
        <w:t>Aplicar también las reglas comunes del apartado 8. Evidencia a enlazar: ID del caso, versión, entorno, fecha, ejecutor, resultado real y captura o log sanitizado. Ninguna casilla se declara cumplida por el solo hecho de estar redactada.</w:t>
      </w:r>
    </w:p>
    <w:p>
      <w:r>
        <w:t>Trazabilidad: Charter 13.1; patient-service/src/main/java/pe/clinica/cardenas/patientservice/web/PatientController.java; docs/SPRINT-1.md del repositorio.</w:t>
      </w:r>
    </w:p>
    <w:p>
      <w:r>
        <w:br w:type="page"/>
      </w:r>
    </w:p>
    <w:p>
      <w:pPr>
        <w:pStyle w:val="Heading1"/>
      </w:pPr>
      <w:r>
        <w:t>7 Tarjeta HU-12</w:t>
      </w:r>
    </w:p>
    <w:p>
      <w:pPr>
        <w:pStyle w:val="Subtitle"/>
      </w:pPr>
      <w:r>
        <w:t>Recuperar acceso mediante OTP</w:t>
      </w:r>
    </w:p>
    <w:p>
      <w:r>
        <w:t>Como Usuario autorizado, quiero recuperar mi acceso mediante OTP, para restablecer credenciales de forma controlada.</w:t>
      </w:r>
    </w:p>
    <w:p>
      <w:r>
        <w:t>Prioridad del Charter: Alta. Tamaño propuesto: 8 SP. Estado: pendiente de validar criterios, estimación y cierre integrado.</w:t>
      </w:r>
    </w:p>
    <w:p>
      <w:pPr>
        <w:pStyle w:val="Heading2"/>
      </w:pPr>
      <w:r>
        <w:t>Criterios de aceptación verificables</w:t>
      </w:r>
    </w:p>
    <w:p>
      <w:r>
        <w:t>CA-12.1 Dada una cuenta activa, cuando solicita recuperación, entonces se crea un desafío para su destino y canal; la respuesta pública no distingue cuenta existente de inexistente.</w:t>
      </w:r>
    </w:p>
    <w:p>
      <w:r>
        <w:t>CA-12.2 Dado un OTP local solicitado, cuando transcurren diez minutos o se acumulan cinco errores, entonces no permite restablecer el acceso y se requiere una nueva solicitud.</w:t>
      </w:r>
    </w:p>
    <w:p>
      <w:r>
        <w:t>CA-12.3 Dado un desafío vigente y un código correcto, cuando se confirma una contraseña válida, entonces se restablece el acceso, se consume el desafío y un segundo uso se rechaza.</w:t>
      </w:r>
    </w:p>
    <w:p>
      <w:r>
        <w:t>CA-12.4 Dada una recuperación completada, cuando se usa un token previo, entonces se rechaza; el nuevo inicio de sesión usa la contraseña nueva.</w:t>
      </w:r>
    </w:p>
    <w:p>
      <w:r>
        <w:t>CA-12.5 Dada una solicitud, un rechazo por código o una recuperación completada, cuando ocurre el evento, entonces se registra la auditoría sin contraseña, OTP ni token; el fallo no revela existencia de cuenta.</w:t>
      </w:r>
    </w:p>
    <w:p>
      <w:pPr>
        <w:pStyle w:val="Heading2"/>
      </w:pPr>
      <w:r>
        <w:t>Definition of Ready de la historia</w:t>
      </w:r>
    </w:p>
    <w:p>
      <w:r>
        <w:t>Canal académico local y datos de ensayo autorizados; vigencia de 10 minutos y cinco intentos acordados; contrato de respuesta genérica y eventos de auditoría definidos; dependencia de cuentas activas resuelta.</w:t>
      </w:r>
    </w:p>
    <w:p>
      <w:pPr>
        <w:pStyle w:val="Heading2"/>
      </w:pPr>
      <w:r>
        <w:t>Definition of Done de la historia</w:t>
      </w:r>
    </w:p>
    <w:p>
      <w:r>
        <w:t>Solicitud previa, expiración, cinco errores, uso único y no enumeración contrastados; contraseña nueva permite acceso y sesiones anteriores dejan de ser válidas; eventos auditados; proveedor local documentado como académico.</w:t>
      </w:r>
    </w:p>
    <w:p>
      <w:r>
        <w:t>Aplicar también las reglas comunes del apartado 8. Evidencia a enlazar: ID del caso, versión, entorno, fecha, ejecutor, resultado real y captura o log sanitizado. Ninguna casilla se declara cumplida por el solo hecho de estar redactada.</w:t>
      </w:r>
    </w:p>
    <w:p>
      <w:r>
        <w:t>Trazabilidad: Charter 13.1; auth-service/src/main/java/pe/clinica/cardenas/authservice/service/OtpVerificationService.java; docs/SPRINT-1.md del repositorio.</w:t>
      </w:r>
    </w:p>
    <w:p>
      <w:r>
        <w:br w:type="page"/>
      </w:r>
    </w:p>
    <w:p>
      <w:pPr>
        <w:pStyle w:val="Heading1"/>
      </w:pPr>
      <w:r>
        <w:t>8 Reglas comunes de preparación y terminado</w:t>
      </w:r>
    </w:p>
    <w:p>
      <w:pPr>
        <w:pStyle w:val="Heading2"/>
      </w:pPr>
      <w:r>
        <w:t>Definition of Ready propuesta</w:t>
      </w:r>
    </w:p>
    <w:p>
      <w:r>
        <w:t>☐ Valor y límites comprensibles por PO y Developers.</w:t>
      </w:r>
    </w:p>
    <w:p>
      <w:r>
        <w:t>☐ Criterios comprobables, reglas y excepciones acordados.</w:t>
      </w:r>
    </w:p>
    <w:p>
      <w:r>
        <w:t>☐ Dependencias identificadas y accesos de ensayo disponibles.</w:t>
      </w:r>
    </w:p>
    <w:p>
      <w:r>
        <w:t>☐ Datos ficticios y casos positivos, negativos y de permisos definidos.</w:t>
      </w:r>
    </w:p>
    <w:p>
      <w:r>
        <w:t>☐ Estimación del equipo y tamaño realizable dentro del Sprint.</w:t>
      </w:r>
    </w:p>
    <w:p>
      <w:r>
        <w:t>☐ Capacidad y riesgos revisados antes de seleccionar.</w:t>
      </w:r>
    </w:p>
    <w:p>
      <w:r>
        <w:t>La DoR es un acuerdo de refinamiento del equipo. No es un compromiso formal adicional definido por la Guía de Scrum. El Charter 13.2 ya establece su base.</w:t>
      </w:r>
    </w:p>
    <w:p>
      <w:pPr>
        <w:pStyle w:val="Heading2"/>
      </w:pPr>
      <w:r>
        <w:t>Definition of Done común</w:t>
      </w:r>
    </w:p>
    <w:p>
      <w:r>
        <w:t>☐ Código integrado y revisión trazable realizada.</w:t>
      </w:r>
    </w:p>
    <w:p>
      <w:r>
        <w:t>☐ Criterios de aceptación cumplidos con resultados verificables.</w:t>
      </w:r>
    </w:p>
    <w:p>
      <w:r>
        <w:t>☐ Pruebas unitarias, integración y seguridad pertinentes aprobadas.</w:t>
      </w:r>
    </w:p>
    <w:p>
      <w:r>
        <w:t>☐ Flujo integrado de ensayo con MySQL y datos ficticios comprobado.</w:t>
      </w:r>
    </w:p>
    <w:p>
      <w:r>
        <w:t>☐ Documentación y configuración necesarias actualizadas.</w:t>
      </w:r>
    </w:p>
    <w:p>
      <w:r>
        <w:t>☐ Sin defectos críticos conocidos abiertos en el alcance entregado.</w:t>
      </w:r>
    </w:p>
    <w:p>
      <w:r>
        <w:t>☐ Versión reproducible y evidencias sanitizadas enlazadas.</w:t>
      </w:r>
    </w:p>
    <w:p>
      <w:r>
        <w:t>La DoD expresa calidad del incremento. La Sprint Review inspecciona resultados y adapta el Product Backlog. La conformidad del cliente exigida por el Charter debe registrarse por separado; una presentación o una aprobación académica no sustituye pruebas ni aceptación.</w:t>
      </w:r>
    </w:p>
    <w:p>
      <w:r>
        <w:br w:type="page"/>
      </w:r>
    </w:p>
    <w:p>
      <w:pPr>
        <w:pStyle w:val="Heading1"/>
      </w:pPr>
      <w:r>
        <w:t>9 Sprint Backlog y organización</w:t>
      </w:r>
    </w:p>
    <w:p>
      <w:r>
        <w:t>Plan propuesto de verificación y cierre. Las tareas no representan actividades históricas completadas. Los roles sugeridos se asignarán a personas por decisión de Developers. Horas, fechas de ejecución y estado real permanecen pendientes en Excel.</w:t>
      </w:r>
    </w:p>
    <w:tbl>
      <w:tblPr>
        <w:tblW w:type="auto" w:w="0"/>
        <w:tblLayout w:type="fixed"/>
        <w:tblLook w:firstColumn="1" w:firstRow="1" w:lastColumn="0" w:lastRow="0" w:noHBand="0" w:noVBand="1" w:val="04A0"/>
      </w:tblPr>
      <w:tblGrid>
        <w:gridCol w:w="2296"/>
        <w:gridCol w:w="2296"/>
        <w:gridCol w:w="2296"/>
        <w:gridCol w:w="2296"/>
      </w:tblGrid>
      <w:tr>
        <w:trPr>
          <w:cantSplit/>
        </w:trPr>
        <w:tc>
          <w:tcPr>
            <w:tcW w:type="dxa" w:w="737"/>
            <w:tcBorders>
              <w:top w:val="single" w:sz="4" w:color="D9D9D9"/>
              <w:left w:val="single" w:sz="4" w:color="D9D9D9"/>
              <w:bottom w:val="single" w:sz="4" w:color="D9D9D9"/>
              <w:right w:val="single" w:sz="4" w:color="D9D9D9"/>
            </w:tcBorders>
            <w:shd w:fill="DFE8F0"/>
          </w:tcPr>
          <w:p>
            <w:pPr>
              <w:spacing w:after="80" w:before="80"/>
            </w:pPr>
            <w:r>
              <w:rPr>
                <w:b/>
                <w:sz w:val="18"/>
              </w:rPr>
              <w:t>ID</w:t>
            </w:r>
          </w:p>
        </w:tc>
        <w:tc>
          <w:tcPr>
            <w:tcW w:type="dxa" w:w="1134"/>
            <w:tcBorders>
              <w:top w:val="single" w:sz="4" w:color="D9D9D9"/>
              <w:left w:val="single" w:sz="4" w:color="D9D9D9"/>
              <w:bottom w:val="single" w:sz="4" w:color="D9D9D9"/>
              <w:right w:val="single" w:sz="4" w:color="D9D9D9"/>
            </w:tcBorders>
            <w:shd w:fill="DFE8F0"/>
          </w:tcPr>
          <w:p>
            <w:pPr>
              <w:spacing w:after="80" w:before="80"/>
            </w:pPr>
            <w:r>
              <w:rPr>
                <w:b/>
                <w:sz w:val="18"/>
              </w:rPr>
              <w:t>HU</w:t>
            </w:r>
          </w:p>
        </w:tc>
        <w:tc>
          <w:tcPr>
            <w:tcW w:type="dxa" w:w="5839"/>
            <w:tcBorders>
              <w:top w:val="single" w:sz="4" w:color="D9D9D9"/>
              <w:left w:val="single" w:sz="4" w:color="D9D9D9"/>
              <w:bottom w:val="single" w:sz="4" w:color="D9D9D9"/>
              <w:right w:val="single" w:sz="4" w:color="D9D9D9"/>
            </w:tcBorders>
            <w:shd w:fill="DFE8F0"/>
          </w:tcPr>
          <w:p>
            <w:pPr>
              <w:spacing w:after="80" w:before="80"/>
            </w:pPr>
            <w:r>
              <w:rPr>
                <w:b/>
                <w:sz w:val="18"/>
              </w:rPr>
              <w:t>Trabajo propuesto</w:t>
            </w:r>
          </w:p>
        </w:tc>
        <w:tc>
          <w:tcPr>
            <w:tcW w:type="dxa" w:w="1474"/>
            <w:tcBorders>
              <w:top w:val="single" w:sz="4" w:color="D9D9D9"/>
              <w:left w:val="single" w:sz="4" w:color="D9D9D9"/>
              <w:bottom w:val="single" w:sz="4" w:color="D9D9D9"/>
              <w:right w:val="single" w:sz="4" w:color="D9D9D9"/>
            </w:tcBorders>
            <w:shd w:fill="DFE8F0"/>
          </w:tcPr>
          <w:p>
            <w:pPr>
              <w:spacing w:after="80" w:before="80"/>
            </w:pPr>
            <w:r>
              <w:rPr>
                <w:b/>
                <w:sz w:val="18"/>
              </w:rPr>
              <w:t>Dependencia</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T01</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HU-01</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Acordar RBAC y reglas de usuario</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Ninguna</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T02</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HU-01</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Verificar API, cambio de rol y revocación</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T01</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T03</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HU-01</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Contrastar bitácora en MySQL e interfaz</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T02</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T04</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Acordar ficha y regla de duplicados</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T01</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T05</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Verificar registro y búsquedas</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T04</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T06</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HU-02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Probar duplicidad concurrente y permisos</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T05</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T07</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HU-12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Acordar canal, vigencia e intentos OTP</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T01</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T08</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HU-12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Contrastar desafío y no enumeración</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T07</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T09</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HU-12</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Probar sesiones y auditoría de recuperación</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T08</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T10</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Común</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Ejecutar demostración integrada de ensayo</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T03, T06, T09</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T11</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Común</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Inspeccionar incremento y adaptar backlog</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T10</w:t>
            </w:r>
          </w:p>
        </w:tc>
      </w:tr>
      <w:tr>
        <w:trPr>
          <w:cantSplit/>
        </w:trPr>
        <w:tc>
          <w:tcPr>
            <w:tcW w:type="dxa" w:w="737"/>
            <w:tcBorders>
              <w:top w:val="single" w:sz="4" w:color="D9D9D9"/>
              <w:left w:val="single" w:sz="4" w:color="D9D9D9"/>
              <w:bottom w:val="single" w:sz="4" w:color="D9D9D9"/>
              <w:right w:val="single" w:sz="4" w:color="D9D9D9"/>
            </w:tcBorders>
          </w:tcPr>
          <w:p>
            <w:pPr>
              <w:spacing w:after="80" w:before="80"/>
            </w:pPr>
            <w:r>
              <w:rPr>
                <w:sz w:val="18"/>
              </w:rPr>
              <w:t>T12</w:t>
            </w:r>
          </w:p>
        </w:tc>
        <w:tc>
          <w:tcPr>
            <w:tcW w:type="dxa" w:w="1134"/>
            <w:tcBorders>
              <w:top w:val="single" w:sz="4" w:color="D9D9D9"/>
              <w:left w:val="single" w:sz="4" w:color="D9D9D9"/>
              <w:bottom w:val="single" w:sz="4" w:color="D9D9D9"/>
              <w:right w:val="single" w:sz="4" w:color="D9D9D9"/>
            </w:tcBorders>
          </w:tcPr>
          <w:p>
            <w:pPr>
              <w:spacing w:after="80" w:before="80"/>
            </w:pPr>
            <w:r>
              <w:rPr>
                <w:sz w:val="18"/>
              </w:rPr>
              <w:t>Común</w:t>
            </w:r>
          </w:p>
        </w:tc>
        <w:tc>
          <w:tcPr>
            <w:tcW w:type="dxa" w:w="5839"/>
            <w:tcBorders>
              <w:top w:val="single" w:sz="4" w:color="D9D9D9"/>
              <w:left w:val="single" w:sz="4" w:color="D9D9D9"/>
              <w:bottom w:val="single" w:sz="4" w:color="D9D9D9"/>
              <w:right w:val="single" w:sz="4" w:color="D9D9D9"/>
            </w:tcBorders>
          </w:tcPr>
          <w:p>
            <w:pPr>
              <w:spacing w:after="80" w:before="80"/>
            </w:pPr>
            <w:r>
              <w:rPr>
                <w:sz w:val="18"/>
              </w:rPr>
              <w:t>Acordar mejora y seguimiento</w:t>
            </w:r>
          </w:p>
        </w:tc>
        <w:tc>
          <w:tcPr>
            <w:tcW w:type="dxa" w:w="1474"/>
            <w:tcBorders>
              <w:top w:val="single" w:sz="4" w:color="D9D9D9"/>
              <w:left w:val="single" w:sz="4" w:color="D9D9D9"/>
              <w:bottom w:val="single" w:sz="4" w:color="D9D9D9"/>
              <w:right w:val="single" w:sz="4" w:color="D9D9D9"/>
            </w:tcBorders>
          </w:tcPr>
          <w:p>
            <w:pPr>
              <w:spacing w:after="80" w:before="80"/>
            </w:pPr>
            <w:r>
              <w:rPr>
                <w:sz w:val="18"/>
              </w:rPr>
              <w:t>T11</w:t>
            </w:r>
          </w:p>
        </w:tc>
      </w:tr>
    </w:tbl>
    <w:p>
      <w:pPr>
        <w:pStyle w:val="Heading2"/>
      </w:pPr>
      <w:r>
        <w:t>Responsabilidades según el Charter</w:t>
      </w:r>
    </w:p>
    <w:p>
      <w:r>
        <w:t>Scrum Master: Ancajima Tripul Rony Alonso. Product Owner: representante autorizado de la clínica, todavía por confirmar. Hoyos coordina el proyecto; Perez participa en análisis; Vasquez y Paredes en desarrollo e integración. QA y datos son responsabilidad del equipo. Estas funciones académicas no crean jerarquías dentro de Developers.</w:t>
      </w:r>
    </w:p>
    <w:p>
      <w:r>
        <w:t>Secuencia sugerida para una replanificación: preparación y contratos, verificación de HU-01, HU-02 y HU-12, ensayo integrado, Review y Retrospective. Registrar nuevas fechas cuando exista acuerdo, sin reemplazar el calendario original como si se hubiera cumplido.</w:t>
      </w:r>
    </w:p>
    <w:p>
      <w:r>
        <w:br w:type="page"/>
      </w:r>
    </w:p>
    <w:p>
      <w:pPr>
        <w:pStyle w:val="Heading1"/>
      </w:pPr>
      <w:r>
        <w:t>10 Daily Scrum y registro de evidencia</w:t>
      </w:r>
    </w:p>
    <w:p>
      <w:r>
        <w:t>La Daily Scrum es un evento de 15 minutos para Developers. Inspecciona el progreso hacia el Sprint Goal y adapta el plan del día. El Scrum Master ayuda a que el evento sea efectivo; no es una rendición de cuentas individual al docente. Las tres preguntas tradicionales pueden usarse como apoyo, pero no son obligatorias.</w:t>
      </w:r>
    </w:p>
    <w:tbl>
      <w:tblPr>
        <w:tblW w:type="auto" w:w="0"/>
        <w:tblLayout w:type="fixed"/>
        <w:tblLook w:firstColumn="1" w:firstRow="1" w:lastColumn="0" w:lastRow="0" w:noHBand="0" w:noVBand="1" w:val="04A0"/>
      </w:tblPr>
      <w:tblGrid>
        <w:gridCol w:w="4592"/>
        <w:gridCol w:w="4592"/>
      </w:tblGrid>
      <w:tr>
        <w:trPr>
          <w:cantSplit/>
        </w:trPr>
        <w:tc>
          <w:tcPr>
            <w:tcW w:type="dxa" w:w="2268"/>
            <w:tcBorders>
              <w:top w:val="single" w:sz="4" w:color="D9D9D9"/>
              <w:left w:val="single" w:sz="4" w:color="D9D9D9"/>
              <w:bottom w:val="single" w:sz="4" w:color="D9D9D9"/>
              <w:right w:val="single" w:sz="4" w:color="D9D9D9"/>
            </w:tcBorders>
            <w:shd w:fill="DFE8F0"/>
          </w:tcPr>
          <w:p>
            <w:pPr>
              <w:spacing w:after="80" w:before="80"/>
            </w:pPr>
            <w:r>
              <w:rPr>
                <w:b/>
                <w:sz w:val="18"/>
              </w:rPr>
              <w:t>Campo</w:t>
            </w:r>
          </w:p>
        </w:tc>
        <w:tc>
          <w:tcPr>
            <w:tcW w:type="dxa" w:w="6917"/>
            <w:tcBorders>
              <w:top w:val="single" w:sz="4" w:color="D9D9D9"/>
              <w:left w:val="single" w:sz="4" w:color="D9D9D9"/>
              <w:bottom w:val="single" w:sz="4" w:color="D9D9D9"/>
              <w:right w:val="single" w:sz="4" w:color="D9D9D9"/>
            </w:tcBorders>
            <w:shd w:fill="DFE8F0"/>
          </w:tcPr>
          <w:p>
            <w:pPr>
              <w:spacing w:after="80" w:before="80"/>
            </w:pPr>
            <w:r>
              <w:rPr>
                <w:b/>
                <w:sz w:val="18"/>
              </w:rPr>
              <w:t>Registro requerido</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Fecha y asistentes</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Datos reales de la sesión. No se asignan retrospectivamente.</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Objetivo y progreso</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Qué cambió respecto del Sprint Goal y qué evidencia lo respalda.</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Plan siguiente</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Tareas e interacción necesarias para el siguiente día.</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Impedimento</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Descripción concreta, impacto, responsable de gestión y seguimiento.</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Adaptación</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Cambio al Sprint Backlog y acuerdo de Developers.</w:t>
            </w:r>
          </w:p>
        </w:tc>
      </w:tr>
      <w:tr>
        <w:trPr>
          <w:cantSplit/>
        </w:trPr>
        <w:tc>
          <w:tcPr>
            <w:tcW w:type="dxa" w:w="2268"/>
            <w:tcBorders>
              <w:top w:val="single" w:sz="4" w:color="D9D9D9"/>
              <w:left w:val="single" w:sz="4" w:color="D9D9D9"/>
              <w:bottom w:val="single" w:sz="4" w:color="D9D9D9"/>
              <w:right w:val="single" w:sz="4" w:color="D9D9D9"/>
            </w:tcBorders>
          </w:tcPr>
          <w:p>
            <w:pPr>
              <w:spacing w:after="80" w:before="80"/>
            </w:pPr>
            <w:r>
              <w:rPr>
                <w:sz w:val="18"/>
              </w:rPr>
              <w:t>Evidencia</w:t>
            </w:r>
          </w:p>
        </w:tc>
        <w:tc>
          <w:tcPr>
            <w:tcW w:type="dxa" w:w="6917"/>
            <w:tcBorders>
              <w:top w:val="single" w:sz="4" w:color="D9D9D9"/>
              <w:left w:val="single" w:sz="4" w:color="D9D9D9"/>
              <w:bottom w:val="single" w:sz="4" w:color="D9D9D9"/>
              <w:right w:val="single" w:sz="4" w:color="D9D9D9"/>
            </w:tcBorders>
          </w:tcPr>
          <w:p>
            <w:pPr>
              <w:spacing w:after="80" w:before="80"/>
            </w:pPr>
            <w:r>
              <w:rPr>
                <w:sz w:val="18"/>
              </w:rPr>
              <w:t>Enlace a tablero, commit, prueba o nota breve con fecha.</w:t>
            </w:r>
          </w:p>
        </w:tc>
      </w:tr>
    </w:tbl>
    <w:p>
      <w:pPr>
        <w:pStyle w:val="Heading2"/>
      </w:pPr>
      <w:r>
        <w:t>Disciplina de evidencia</w:t>
      </w:r>
    </w:p>
    <w:p>
      <w:r>
        <w:t>Distinguir observado en código, reportado por documentación, ejecutado por CI, ejecutado en ensayo y validado por el cliente. Un archivo de pruebas acredita que existe una prueba, no que pasó. Un log de CI acredita esa ejecución y su versión, no una reunión. Las plantillas Daily, Review y Retrospective de Excel están vacías para registrar eventos reales.</w:t>
      </w:r>
    </w:p>
    <w:p>
      <w:r>
        <w:t>No se informan velocidad, burndown real, porcentaje completado, ahorro operativo ni asistencia histórica porque no se aportaron sus registros. Las metas diagnósticas del Charter siguen pendientes de medición.</w:t>
      </w:r>
    </w:p>
    <w:p>
      <w:r>
        <w:br w:type="page"/>
      </w:r>
    </w:p>
    <w:p>
      <w:pPr>
        <w:pStyle w:val="Heading1"/>
      </w:pPr>
      <w:r>
        <w:t>11 Sprint Review y Sprint Retrospective</w:t>
      </w:r>
    </w:p>
    <w:p>
      <w:pPr>
        <w:pStyle w:val="Heading2"/>
      </w:pPr>
      <w:r>
        <w:t>Sprint Review propuesta de 45 minutos</w:t>
      </w:r>
    </w:p>
    <w:p>
      <w:r>
        <w:t>Duración sugerida para esta iteración corta. Participan Scrum Team e interesados. Antes del evento, preparar la versión y los casos de ensayo. Dedicar 5 minutos al objetivo y contexto, 25 a inspeccionar las historias con evidencia, 10 a feedback y adaptación del backlog y 5 a decisiones y siguientes pasos. La agenda se ajusta según disponibilidad real.</w:t>
      </w:r>
    </w:p>
    <w:tbl>
      <w:tblPr>
        <w:tblW w:type="auto" w:w="0"/>
        <w:tblLayout w:type="fixed"/>
        <w:tblLook w:firstColumn="1" w:firstRow="1" w:lastColumn="0" w:lastRow="0" w:noHBand="0" w:noVBand="1" w:val="04A0"/>
      </w:tblPr>
      <w:tblGrid>
        <w:gridCol w:w="4592"/>
        <w:gridCol w:w="4592"/>
      </w:tblGrid>
      <w:tr>
        <w:trPr>
          <w:cantSplit/>
        </w:trPr>
        <w:tc>
          <w:tcPr>
            <w:tcW w:type="dxa" w:w="2835"/>
            <w:tcBorders>
              <w:top w:val="single" w:sz="4" w:color="D9D9D9"/>
              <w:left w:val="single" w:sz="4" w:color="D9D9D9"/>
              <w:bottom w:val="single" w:sz="4" w:color="D9D9D9"/>
              <w:right w:val="single" w:sz="4" w:color="D9D9D9"/>
            </w:tcBorders>
            <w:shd w:fill="DFE8F0"/>
          </w:tcPr>
          <w:p>
            <w:pPr>
              <w:spacing w:after="80" w:before="80"/>
            </w:pPr>
            <w:r>
              <w:rPr>
                <w:b/>
                <w:sz w:val="18"/>
              </w:rPr>
              <w:t>Registro de Review</w:t>
            </w:r>
          </w:p>
        </w:tc>
        <w:tc>
          <w:tcPr>
            <w:tcW w:type="dxa" w:w="6350"/>
            <w:tcBorders>
              <w:top w:val="single" w:sz="4" w:color="D9D9D9"/>
              <w:left w:val="single" w:sz="4" w:color="D9D9D9"/>
              <w:bottom w:val="single" w:sz="4" w:color="D9D9D9"/>
              <w:right w:val="single" w:sz="4" w:color="D9D9D9"/>
            </w:tcBorders>
            <w:shd w:fill="DFE8F0"/>
          </w:tcPr>
          <w:p>
            <w:pPr>
              <w:spacing w:after="80" w:before="80"/>
            </w:pPr>
            <w:r>
              <w:rPr>
                <w:b/>
                <w:sz w:val="18"/>
              </w:rPr>
              <w:t>Contenido pendiente</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Incremento inspeccionado</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Commit, entorno y fecha.</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Historias y calidad</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DoD, criterios, casos ejecutados y defectos conocidos.</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Feedback del cliente</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Observaciones textuales confirmadas y su autor.</w:t>
            </w:r>
          </w:p>
        </w:tc>
      </w:tr>
      <w:tr>
        <w:trPr>
          <w:cantSplit/>
        </w:trPr>
        <w:tc>
          <w:tcPr>
            <w:tcW w:type="dxa" w:w="2835"/>
            <w:tcBorders>
              <w:top w:val="single" w:sz="4" w:color="D9D9D9"/>
              <w:left w:val="single" w:sz="4" w:color="D9D9D9"/>
              <w:bottom w:val="single" w:sz="4" w:color="D9D9D9"/>
              <w:right w:val="single" w:sz="4" w:color="D9D9D9"/>
            </w:tcBorders>
          </w:tcPr>
          <w:p>
            <w:pPr>
              <w:spacing w:after="80" w:before="80"/>
            </w:pPr>
            <w:r>
              <w:rPr>
                <w:sz w:val="18"/>
              </w:rPr>
              <w:t>Decisiones</w:t>
            </w:r>
          </w:p>
        </w:tc>
        <w:tc>
          <w:tcPr>
            <w:tcW w:type="dxa" w:w="6350"/>
            <w:tcBorders>
              <w:top w:val="single" w:sz="4" w:color="D9D9D9"/>
              <w:left w:val="single" w:sz="4" w:color="D9D9D9"/>
              <w:bottom w:val="single" w:sz="4" w:color="D9D9D9"/>
              <w:right w:val="single" w:sz="4" w:color="D9D9D9"/>
            </w:tcBorders>
          </w:tcPr>
          <w:p>
            <w:pPr>
              <w:spacing w:after="80" w:before="80"/>
            </w:pPr>
            <w:r>
              <w:rPr>
                <w:sz w:val="18"/>
              </w:rPr>
              <w:t>Aceptación o pendientes según Charter, cambios al backlog y responsable.</w:t>
            </w:r>
          </w:p>
        </w:tc>
      </w:tr>
    </w:tbl>
    <w:p>
      <w:pPr>
        <w:pStyle w:val="Heading2"/>
      </w:pPr>
      <w:r>
        <w:t>Sprint Retrospective propuesta de 30 minutos</w:t>
      </w:r>
    </w:p>
    <w:p>
      <w:r>
        <w:t>Después de Review, el Scrum Team inspecciona colaboración, herramientas, proceso y calidad. Dedicar 5 minutos a hechos, 10 a causas de dificultades, 10 a elegir una mejora y 5 a asignar seguimiento. No se declara qué funcionó ni qué falló sin la conversación real.</w:t>
      </w:r>
    </w:p>
    <w:p>
      <w:r>
        <w:t>Plantilla de acción: observación real; causa acordada; acción concreta; responsable aceptado; fecha objetivo; evidencia de verificación. Una opción para discutir es enlazar cada criterio a su prueba antes de la siguiente Review. Esta opción es una propuesta, no un acuerdo del equipo.</w:t>
      </w:r>
    </w:p>
    <w:p>
      <w:r>
        <w:t>Scrum fija máximos de cuatro horas para Review y tres horas para Retrospective de un Sprint de un mes. Para sprints menores, los eventos suelen ser más cortos. Las duraciones aquí sugeridas no son una obligación normativa.</w:t>
      </w:r>
    </w:p>
    <w:p>
      <w:r>
        <w:br w:type="page"/>
      </w:r>
    </w:p>
    <w:p>
      <w:pPr>
        <w:pStyle w:val="Heading1"/>
      </w:pPr>
      <w:r>
        <w:t>12 Guion de sustentación y demostración</w:t>
      </w:r>
    </w:p>
    <w:p>
      <w:r>
        <w:t>Guion sugerido de 10 a 12 minutos. Si el entorno integrado no está disponible, explicar el código y las pruebas identificándolos como tales. La web estática publicada no permite demostrar por sí sola los flujos de datos.</w:t>
      </w:r>
    </w:p>
    <w:p>
      <w:pPr>
        <w:pStyle w:val="Heading2"/>
      </w:pPr>
      <w:r>
        <w:t>1 Identificar ensayo</w:t>
      </w:r>
    </w:p>
    <w:p>
      <w:r>
        <w:t>Mostrar versión y entorno, usar cuentas y pacientes ficticios. Evidencia objetivo: Versión, fecha y responsable.</w:t>
      </w:r>
    </w:p>
    <w:p>
      <w:pPr>
        <w:pStyle w:val="Heading2"/>
      </w:pPr>
      <w:r>
        <w:t>2 Usuarios</w:t>
      </w:r>
    </w:p>
    <w:p>
      <w:r>
        <w:t>ADMIN crea Recepción, asigna rol y consulta bitácora. Evidencia objetivo: CA-01.1 y CA-01.4.</w:t>
      </w:r>
    </w:p>
    <w:p>
      <w:pPr>
        <w:pStyle w:val="Heading2"/>
      </w:pPr>
      <w:r>
        <w:t>3 Autorización</w:t>
      </w:r>
    </w:p>
    <w:p>
      <w:r>
        <w:t>Intentar administración con Recepción por interfaz y API directa. Evidencia objetivo: CA-01.3.</w:t>
      </w:r>
    </w:p>
    <w:p>
      <w:pPr>
        <w:pStyle w:val="Heading2"/>
      </w:pPr>
      <w:r>
        <w:t>4 Pacientes</w:t>
      </w:r>
    </w:p>
    <w:p>
      <w:r>
        <w:t>Registrar paciente ficticio y buscar por documento, nombre y teléfono. Evidencia objetivo: CA-02.1 y CA-02.3.</w:t>
      </w:r>
    </w:p>
    <w:p>
      <w:pPr>
        <w:pStyle w:val="Heading2"/>
      </w:pPr>
      <w:r>
        <w:t>5 Duplicados</w:t>
      </w:r>
    </w:p>
    <w:p>
      <w:r>
        <w:t>Repetir documento y ejecutar dos solicitudes concurrentes controladas. Evidencia objetivo: CA-02.2 y CA-02.4.</w:t>
      </w:r>
    </w:p>
    <w:p>
      <w:pPr>
        <w:pStyle w:val="Heading2"/>
      </w:pPr>
      <w:r>
        <w:t>6 Cambio de acceso</w:t>
      </w:r>
    </w:p>
    <w:p>
      <w:r>
        <w:t>Cambiar rol o bloquear cuenta y probar token anterior. Evidencia objetivo: CA-01.2.</w:t>
      </w:r>
    </w:p>
    <w:p>
      <w:pPr>
        <w:pStyle w:val="Heading2"/>
      </w:pPr>
      <w:r>
        <w:t>7 Recuperación</w:t>
      </w:r>
    </w:p>
    <w:p>
      <w:r>
        <w:t>Comparar respuesta genérica, probar código correcto, expiración, cinco errores y reutilización en desafíos separados. Evidencia objetivo: CA-12.1 a CA-12.3.</w:t>
      </w:r>
    </w:p>
    <w:p>
      <w:pPr>
        <w:pStyle w:val="Heading2"/>
      </w:pPr>
      <w:r>
        <w:t>8 Sesiones y cierre</w:t>
      </w:r>
    </w:p>
    <w:p>
      <w:r>
        <w:t>Probar token previo, acceso nuevo y auditoría. Registrar lo fallido y feedback del PO. Evidencia objetivo: CA-12.4 y CA-12.5.</w:t>
      </w:r>
    </w:p>
    <w:p>
      <w:r>
        <w:t>Apertura sugerida: «El Sprint 1 se enfoca en identidad, seguridad y pacientes. El Charter define tres historias y sus criterios. Proponemos 21 puntos después de incorporar la complejidad de los controles OTP; esa estimación requiere consenso del equipo».</w:t>
      </w:r>
    </w:p>
    <w:p>
      <w:r>
        <w:t>Cierre sugerido: «Presentamos lo que está verificado y señalamos lo pendiente. El despliegue de Pages sirve la interfaz sin backend público configurado. Aún deben registrarse la demostración integrada y la conformidad del representante autorizado».</w:t>
      </w:r>
    </w:p>
    <w:p>
      <w:r>
        <w:br w:type="page"/>
      </w:r>
    </w:p>
    <w:p>
      <w:pPr>
        <w:pStyle w:val="Heading1"/>
      </w:pPr>
      <w:r>
        <w:t>13 Verificación técnica y publicación</w:t>
      </w:r>
    </w:p>
    <w:p>
      <w:r>
        <w:t>Inspección del repositorio: commit 235502c738ca3e0256710a901fc7e4b5a02326cb. Se revisaron README, Sprint 1, matriz de permisos, controladores de usuarios y pacientes, servicio OTP, pruebas existentes y flujos de validación y Pages.</w:t>
      </w:r>
    </w:p>
    <w:p>
      <w:r>
        <w:t>GitHub Actions: la ejecución 39872400142 de Validación del repositorio y la ejecución 39872400201 de Pages finalizaron en success para ese commit. En Pages, build y deploy constan exitosos. Se consultó el resultado de CI; no se reejecutó la batería Java ni una instalación MySQL local en esta revisión.</w:t>
      </w:r>
    </w:p>
    <w:p>
      <w:r>
        <w:t>Comprobación HTTP directa: la raíz pública y deployment-config.js devolvieron 200. La raíz contiene base href /clinica-cardenas/. La configuración publicada contiene pages=true y apiBaseUrl vacío. Se comprobó la disponibilidad estática, sin validar interacciones en un navegador ni flujos con backend.</w:t>
      </w:r>
    </w:p>
    <w:p>
      <w:r>
        <w:t>La conexión de GitHub consultada tiene pull=true y push=false, admin=false. Por ello no se modificaron repositorio remoto ni Pages. Se entrega un paquete de documentación y un parche para aplicación por el propietario. No se alteraron código funcional, secretos, bases de datos ni configuración de despliegue.</w:t>
      </w:r>
    </w:p>
    <w:p>
      <w:pPr>
        <w:pStyle w:val="Heading2"/>
      </w:pPr>
      <w:r>
        <w:t>Pasos para el propietario</w:t>
      </w:r>
    </w:p>
    <w:p>
      <w:r>
        <w:t>Revisar la adenda y aplicar el parche en una rama. Incorporar los entregables si se desea versionarlos. Revisar la propuesta y fusionar a main; el flujo existente compilará y desplegará Pages. Verificar la ejecución y volver a comprobar raíz, recursos y configuración. Para funcionalidad completa se requiere backend HTTPS y PUBLIC_API_BASE_URL válidos conforme a docs/GITHUB_PAGES.md.</w:t>
      </w:r>
    </w:p>
    <w:p>
      <w:r>
        <w:br w:type="page"/>
      </w:r>
    </w:p>
    <w:p>
      <w:pPr>
        <w:pStyle w:val="Heading1"/>
      </w:pPr>
      <w:r>
        <w:t>14 Fuentes y cierre pendiente</w:t>
      </w:r>
    </w:p>
    <w:p>
      <w:r>
        <w:t>S1. PROJECT_CHARTER_CLINICA_CARDENAS_PORTADA_UPEU.docx aportado por el usuario. Control de versiones 1.1 del 17/09/2026; secciones 7.1, 9, 13, 13.1, 13.2, 14, 15, 18 y 19.</w:t>
      </w:r>
    </w:p>
    <w:p>
      <w:r>
        <w:t>S2. Repositorio inspeccionado: https://github.com/DJuanParedes/clinica-cardenas/tree/235502c738ca3e0256710a901fc7e4b5a02326cb</w:t>
      </w:r>
    </w:p>
    <w:p>
      <w:r>
        <w:t>S3. Sprint y límites: https://github.com/DJuanParedes/clinica-cardenas/blob/235502c738ca3e0256710a901fc7e4b5a02326cb/docs/SPRINT-1.md</w:t>
      </w:r>
    </w:p>
    <w:p>
      <w:r>
        <w:t>S4. Validación CI: https://github.com/DJuanParedes/clinica-cardenas/actions/runs/39872400142</w:t>
      </w:r>
    </w:p>
    <w:p>
      <w:r>
        <w:t>S5. Publicación CI: https://github.com/DJuanParedes/clinica-cardenas/actions/runs/39872400201</w:t>
      </w:r>
    </w:p>
    <w:p>
      <w:r>
        <w:t>S6. Sitio y configuración: https://djuanparedes.github.io/clinica-cardenas/ y https://djuanparedes.github.io/clinica-cardenas/deployment-config.js</w:t>
      </w:r>
    </w:p>
    <w:p>
      <w:r>
        <w:t>S7. Schwaber y Sutherland. Guía de Scrum, noviembre de 2020. Secciones Scrum Team, eventos, Sprint Backlog y Definition of Done. https://scrumguides.org/docs/scrumguide/v2020/2020-Scrum-Guide-Spanish-Latin-South-American.pdf</w:t>
      </w:r>
    </w:p>
    <w:p>
      <w:r>
        <w:t>Fecha de consulta técnica: 22/10/2026, zona America/Lima. La normativa e ISO mencionadas en el Charter se conservan como referencias del documento fuente y no se certifica su cumplimiento mediante esta revisión académica.</w:t>
      </w:r>
    </w:p>
    <w:p>
      <w:pPr>
        <w:pStyle w:val="Heading2"/>
      </w:pPr>
      <w:r>
        <w:t>Condiciones para cerrar el expediente</w:t>
      </w:r>
    </w:p>
    <w:p>
      <w:r>
        <w:t>Validar representante y capacidad, acordar puntos y reglas de acceso, ejecutar casos integrados, registrar Review y Retrospective reales y obtener conformidad cuando corresponda. El Word, PowerPoint y Excel son coherentes entre sí y mantienen estos pendientes visibles. El Charter original permanece intacto.</w:t>
      </w:r>
    </w:p>
    <w:sectPr w:rsidR="00FC693F" w:rsidRPr="0006063C" w:rsidSect="00034616">
      <w:headerReference w:type="default" r:id="rId9"/>
      <w:footerReference w:type="default" r:id="rId10"/>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Revisión académica al 22 de octubre de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UPeU   Ingeniería de Sistemas                                      Clínica Dental Cárdenas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