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sz w:val="22"/>
          <w:szCs w:val="22"/>
        </w:rPr>
        <w:t xml:space="preserve"/>
      </w:r>
    </w:p>
    <w:p>
      <w:pPr>
        <w:spacing w:after="80" w:before="0"/>
        <w:jc w:val="center"/>
      </w:pPr>
      <w:r>
        <w:rPr>
          <w:rFonts w:ascii="Arial" w:cs="Arial" w:eastAsia="Arial" w:hAnsi="Arial"/>
          <w:b/>
          <w:bCs/>
          <w:color w:val="888888"/>
          <w:sz w:val="28"/>
          <w:szCs w:val="28"/>
        </w:rPr>
        <w:t xml:space="preserve">HackfiniX 2026</w:t>
      </w:r>
    </w:p>
    <w:p>
      <w:pPr>
        <w:spacing w:after="80" w:before="0"/>
        <w:jc w:val="center"/>
      </w:pPr>
      <w:r>
        <w:rPr>
          <w:rFonts w:ascii="Arial" w:cs="Arial" w:eastAsia="Arial" w:hAnsi="Arial"/>
          <w:color w:val="2E6FD4"/>
          <w:sz w:val="24"/>
          <w:szCs w:val="24"/>
        </w:rPr>
        <w:t xml:space="preserve">Track 02 — Human–AI Collaboration</w:t>
      </w:r>
    </w:p>
    <w:p>
      <w:pPr>
        <w:spacing w:after="80" w:before="0"/>
      </w:pPr>
      <w:r>
        <w:rPr>
          <w:rFonts w:ascii="Arial" w:cs="Arial" w:eastAsia="Arial" w:hAnsi="Arial"/>
          <w:sz w:val="22"/>
          <w:szCs w:val="22"/>
        </w:rPr>
        <w:t xml:space="preserve"/>
      </w:r>
    </w:p>
    <w:p>
      <w:pPr>
        <w:spacing w:after="120" w:before="0"/>
        <w:jc w:val="center"/>
      </w:pPr>
      <w:r>
        <w:rPr>
          <w:rFonts w:ascii="Arial" w:cs="Arial" w:eastAsia="Arial" w:hAnsi="Arial"/>
          <w:b/>
          <w:bCs/>
          <w:color w:val="1B2A4A"/>
          <w:sz w:val="56"/>
          <w:szCs w:val="56"/>
        </w:rPr>
        <w:t xml:space="preserve">ClauseGuard:</w:t>
      </w:r>
    </w:p>
    <w:p>
      <w:pPr>
        <w:spacing w:after="80" w:before="0"/>
        <w:jc w:val="center"/>
      </w:pPr>
      <w:r>
        <w:rPr>
          <w:rFonts w:ascii="Arial" w:cs="Arial" w:eastAsia="Arial" w:hAnsi="Arial"/>
          <w:b/>
          <w:bCs/>
          <w:color w:val="2E6FD4"/>
          <w:sz w:val="40"/>
          <w:szCs w:val="40"/>
        </w:rPr>
        <w:t xml:space="preserve">An Intelligent Contradiction Intelligence Platform</w:t>
      </w:r>
    </w:p>
    <w:p>
      <w:pPr>
        <w:spacing w:after="80" w:before="0"/>
        <w:jc w:val="center"/>
      </w:pPr>
      <w:r>
        <w:rPr>
          <w:rFonts w:ascii="Arial" w:cs="Arial" w:eastAsia="Arial" w:hAnsi="Arial"/>
          <w:b/>
          <w:bCs/>
          <w:color w:val="2E6FD4"/>
          <w:sz w:val="40"/>
          <w:szCs w:val="40"/>
        </w:rPr>
        <w:t xml:space="preserve">for Organizational Document Governance</w:t>
      </w:r>
    </w:p>
    <w:p>
      <w:pPr>
        <w:spacing w:after="80" w:before="0"/>
      </w:pPr>
      <w:r>
        <w:rPr>
          <w:rFonts w:ascii="Arial" w:cs="Arial" w:eastAsia="Arial" w:hAnsi="Arial"/>
          <w:sz w:val="22"/>
          <w:szCs w:val="22"/>
        </w:rPr>
        <w:t xml:space="preserve"/>
      </w:r>
    </w:p>
    <w:p>
      <w:pPr>
        <w:spacing w:after="80" w:before="0"/>
        <w:jc w:val="center"/>
      </w:pPr>
      <w:r>
        <w:rPr>
          <w:rFonts w:ascii="Arial" w:cs="Arial" w:eastAsia="Arial" w:hAnsi="Arial"/>
          <w:i/>
          <w:iCs/>
          <w:color w:val="888888"/>
          <w:sz w:val="22"/>
          <w:szCs w:val="22"/>
        </w:rPr>
        <w:t xml:space="preserve">AI-powered semantic conflict detection with explainability, knowledge graphs,</w:t>
      </w:r>
    </w:p>
    <w:p>
      <w:pPr>
        <w:spacing w:after="80" w:before="0"/>
        <w:jc w:val="center"/>
      </w:pPr>
      <w:r>
        <w:rPr>
          <w:rFonts w:ascii="Arial" w:cs="Arial" w:eastAsia="Arial" w:hAnsi="Arial"/>
          <w:i/>
          <w:iCs/>
          <w:color w:val="888888"/>
          <w:sz w:val="22"/>
          <w:szCs w:val="22"/>
        </w:rPr>
        <w:t xml:space="preserve">and human-in-the-loop resolution — fully open source, fully offline on Raspberry Pi 5.</w:t>
      </w:r>
    </w:p>
    <w:p>
      <w:pPr>
        <w:spacing w:after="1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80"/>
              <w:jc w:val="center"/>
            </w:pPr>
            <w:r>
              <w:rPr>
                <w:rFonts w:ascii="Arial" w:cs="Arial" w:eastAsia="Arial" w:hAnsi="Arial"/>
                <w:b/>
                <w:bCs/>
                <w:color w:val="1B2A4A"/>
                <w:sz w:val="28"/>
                <w:szCs w:val="28"/>
              </w:rPr>
              <w:t xml:space="preserve">Team: Techtonics</w:t>
            </w:r>
          </w:p>
          <w:p>
            <w:pPr>
              <w:spacing w:after="80" w:before="0"/>
              <w:jc w:val="center"/>
            </w:pPr>
            <w:r>
              <w:rPr>
                <w:rFonts w:ascii="Arial" w:cs="Arial" w:eastAsia="Arial" w:hAnsi="Arial"/>
                <w:color w:val="333333"/>
                <w:sz w:val="22"/>
                <w:szCs w:val="22"/>
              </w:rPr>
              <w:t xml:space="preserve">Cambridge Institute of Technology North Campus, Bengaluru</w:t>
            </w:r>
          </w:p>
        </w:tc>
      </w:tr>
    </w:tbl>
    <w:p>
      <w:pPr>
        <w:spacing w:after="240" w:before="0"/>
      </w:pPr>
      <w:r>
        <w:rPr>
          <w:rFonts w:ascii="Arial" w:cs="Arial" w:eastAsia="Arial" w:hAnsi="Arial"/>
          <w:sz w:val="22"/>
          <w:szCs w:val="22"/>
        </w:rPr>
        <w:t xml:space="preserve"/>
      </w:r>
    </w:p>
    <w:p>
      <w:pPr>
        <w:jc w:val="center"/>
      </w:pPr>
      <w:r>
        <w:rPr>
          <w:rFonts w:ascii="Arial" w:cs="Arial" w:eastAsia="Arial" w:hAnsi="Arial"/>
          <w:color w:val="888888"/>
          <w:sz w:val="20"/>
          <w:szCs w:val="20"/>
        </w:rPr>
        <w:t xml:space="preserve">HackfiniX 2026  •  August 13–14, 2026</w:t>
      </w:r>
    </w:p>
    <w:p>
      <w:r>
        <w:br w:type="page"/>
      </w:r>
    </w:p>
    <w:p>
      <w:pPr>
        <w:pStyle w:val="Heading1"/>
        <w:spacing w:after="160" w:before="400"/>
      </w:pPr>
      <w:r>
        <w:rPr>
          <w:rFonts w:ascii="Arial" w:cs="Arial" w:eastAsia="Arial" w:hAnsi="Arial"/>
          <w:b/>
          <w:bCs/>
          <w:color w:val="1B2A4A"/>
          <w:sz w:val="32"/>
          <w:szCs w:val="32"/>
        </w:rPr>
        <w:t xml:space="preserve">1. Problem Statement</w:t>
      </w:r>
    </w:p>
    <w:p>
      <w:pPr>
        <w:spacing w:after="80" w:before="60"/>
      </w:pPr>
      <w:r>
        <w:rPr>
          <w:rFonts w:ascii="Arial" w:cs="Arial" w:eastAsia="Arial" w:hAnsi="Arial"/>
          <w:color w:val="333333"/>
          <w:sz w:val="22"/>
          <w:szCs w:val="22"/>
        </w:rPr>
        <w:t xml:space="preserve">Organizations managing large volumes of policies, contracts, SOPs, and compliance documents face a critical hidden risk: contradictory clauses that go undetected until they cause legal disputes, audit failures, or operational breakdowns. Manual review is slow, error-prone, and does not scale. Existing tools only perform keyword search — they do not reason about meaning.</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40" w:before="60"/>
            </w:pPr>
            <w:r>
              <w:rPr>
                <w:rFonts w:ascii="Arial" w:cs="Arial" w:eastAsia="Arial" w:hAnsi="Arial"/>
                <w:b/>
                <w:bCs/>
                <w:color w:val="1B2A4A"/>
                <w:sz w:val="22"/>
                <w:szCs w:val="22"/>
              </w:rPr>
              <w:t xml:space="preserve">Real-World Example</w:t>
            </w:r>
          </w:p>
          <w:p>
            <w:pPr>
              <w:spacing w:after="40" w:before="0"/>
            </w:pPr>
            <w:r>
              <w:rPr>
                <w:rFonts w:ascii="Arial" w:cs="Arial" w:eastAsia="Arial" w:hAnsi="Arial"/>
                <w:b/>
                <w:bCs/>
                <w:color w:val="C94F2C"/>
                <w:sz w:val="22"/>
                <w:szCs w:val="22"/>
              </w:rPr>
              <w:t xml:space="preserve">Doc A (HR Policy): </w:t>
            </w:r>
            <w:r>
              <w:rPr>
                <w:rFonts w:ascii="Arial" w:cs="Arial" w:eastAsia="Arial" w:hAnsi="Arial"/>
                <w:i/>
                <w:iCs/>
                <w:color w:val="333333"/>
                <w:sz w:val="22"/>
                <w:szCs w:val="22"/>
              </w:rPr>
              <w:t xml:space="preserve">"All employee grievances must be submitted in writing within 7 calendar days of the incident."</w:t>
            </w:r>
          </w:p>
          <w:p>
            <w:pPr>
              <w:spacing w:after="60" w:before="40"/>
            </w:pPr>
            <w:r>
              <w:rPr>
                <w:rFonts w:ascii="Arial" w:cs="Arial" w:eastAsia="Arial" w:hAnsi="Arial"/>
                <w:b/>
                <w:bCs/>
                <w:color w:val="1A7A6E"/>
                <w:sz w:val="22"/>
                <w:szCs w:val="22"/>
              </w:rPr>
              <w:t xml:space="preserve">Doc B (Employment Contract): </w:t>
            </w:r>
            <w:r>
              <w:rPr>
                <w:rFonts w:ascii="Arial" w:cs="Arial" w:eastAsia="Arial" w:hAnsi="Arial"/>
                <w:i/>
                <w:iCs/>
                <w:color w:val="333333"/>
                <w:sz w:val="22"/>
                <w:szCs w:val="22"/>
              </w:rPr>
              <w:t xml:space="preserve">"Employees may raise grievances verbally or in writing. The company will acknowledge within 10 working days."</w:t>
            </w:r>
          </w:p>
          <w:p>
            <w:pPr>
              <w:spacing w:after="40" w:before="0"/>
            </w:pPr>
            <w:r>
              <w:rPr>
                <w:rFonts w:ascii="Arial" w:cs="Arial" w:eastAsia="Arial" w:hAnsi="Arial"/>
                <w:b/>
                <w:bCs/>
                <w:color w:val="2E6FD4"/>
                <w:sz w:val="22"/>
                <w:szCs w:val="22"/>
              </w:rPr>
              <w:t xml:space="preserve">Conflict: </w:t>
            </w:r>
            <w:r>
              <w:rPr>
                <w:rFonts w:ascii="Arial" w:cs="Arial" w:eastAsia="Arial" w:hAnsi="Arial"/>
                <w:color w:val="333333"/>
                <w:sz w:val="22"/>
                <w:szCs w:val="22"/>
              </w:rPr>
              <w:t xml:space="preserve">Submission method (written-only vs verbal allowed) and deadline (7 calendar days vs unspecified). Legal enforceability risk: HIGH. Estimated financial exposure: ₹8–15 lakhs per undetected dispute.</w:t>
            </w:r>
          </w:p>
        </w:tc>
      </w:tr>
    </w:tbl>
    <w:p>
      <w:pPr>
        <w:spacing w:after="80" w:before="0"/>
      </w:pPr>
      <w:r>
        <w:rPr>
          <w:rFonts w:ascii="Arial" w:cs="Arial" w:eastAsia="Arial" w:hAnsi="Arial"/>
          <w:sz w:val="22"/>
          <w:szCs w:val="22"/>
        </w:rPr>
        <w:t xml:space="preserve"/>
      </w:r>
    </w:p>
    <w:p>
      <w:pPr>
        <w:pStyle w:val="Heading1"/>
        <w:spacing w:after="160" w:before="400"/>
      </w:pPr>
      <w:r>
        <w:rPr>
          <w:rFonts w:ascii="Arial" w:cs="Arial" w:eastAsia="Arial" w:hAnsi="Arial"/>
          <w:b/>
          <w:bCs/>
          <w:color w:val="1B2A4A"/>
          <w:sz w:val="32"/>
          <w:szCs w:val="32"/>
        </w:rPr>
        <w:t xml:space="preserve">2. Solution Overview — ClauseGuard</w:t>
      </w:r>
    </w:p>
    <w:p>
      <w:pPr>
        <w:spacing w:after="80" w:before="60"/>
      </w:pPr>
      <w:r>
        <w:rPr>
          <w:rFonts w:ascii="Arial" w:cs="Arial" w:eastAsia="Arial" w:hAnsi="Arial"/>
          <w:color w:val="333333"/>
          <w:sz w:val="22"/>
          <w:szCs w:val="22"/>
        </w:rPr>
        <w:t xml:space="preserve">ClauseGuard is a fully open-source, human-in-the-loop AI system that ingests multiple organizational documents, detects semantically contradictory clauses across them, explains why they conflict with a full evidence trace, assigns a severity score, builds a contradiction knowledge graph, and enables human reviewers to resolve conflicts — with every action logged in an audit trail. All inference runs locally on a Raspberry Pi 5 edge node — no data ever leaves the organization.</w:t>
      </w:r>
    </w:p>
    <w:p>
      <w:pPr>
        <w:spacing w:after="80" w:before="0"/>
      </w:pPr>
      <w:r>
        <w:rPr>
          <w:rFonts w:ascii="Arial" w:cs="Arial" w:eastAsia="Arial" w:hAnsi="Arial"/>
          <w:sz w:val="22"/>
          <w:szCs w:val="22"/>
        </w:rPr>
        <w:t xml:space="preserve"/>
      </w:r>
    </w:p>
    <w:p>
      <w:pPr>
        <w:pStyle w:val="Heading2"/>
        <w:pBdr>
          <w:bottom w:val="single" w:color="2E6FD4" w:sz="4" w:space="4"/>
        </w:pBdr>
        <w:spacing w:after="120" w:before="320"/>
      </w:pPr>
      <w:r>
        <w:rPr>
          <w:rFonts w:ascii="Arial" w:cs="Arial" w:eastAsia="Arial" w:hAnsi="Arial"/>
          <w:b/>
          <w:bCs/>
          <w:color w:val="2E6FD4"/>
          <w:sz w:val="26"/>
          <w:szCs w:val="26"/>
        </w:rPr>
        <w:t xml:space="preserve">Top-Level Impact KPIs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DE9F8" w:val="clear"/>
            <w:tcMar>
              <w:top w:type="dxa" w:w="160"/>
              <w:left w:type="dxa" w:w="180"/>
              <w:bottom w:type="dxa" w:w="160"/>
              <w:right w:type="dxa" w:w="180"/>
            </w:tcMar>
          </w:tcPr>
          <w:p>
            <w:pPr>
              <w:spacing w:after="40" w:before="0"/>
            </w:pPr>
            <w:r>
              <w:rPr>
                <w:rFonts w:ascii="Arial" w:cs="Arial" w:eastAsia="Arial" w:hAnsi="Arial"/>
                <w:b/>
                <w:bCs/>
                <w:color w:val="888888"/>
                <w:sz w:val="18"/>
                <w:szCs w:val="18"/>
              </w:rPr>
              <w:t xml:space="preserve">FINANCIAL RISK PREVENTED</w:t>
            </w:r>
          </w:p>
          <w:p>
            <w:pPr>
              <w:spacing w:after="40" w:before="0"/>
            </w:pPr>
            <w:r>
              <w:rPr>
                <w:rFonts w:ascii="Arial" w:cs="Arial" w:eastAsia="Arial" w:hAnsi="Arial"/>
                <w:b/>
                <w:bCs/>
                <w:color w:val="1B2A4A"/>
                <w:sz w:val="32"/>
                <w:szCs w:val="32"/>
              </w:rPr>
              <w:t xml:space="preserve">₹2.4 Cr+</w:t>
            </w:r>
          </w:p>
          <w:p>
            <w:pPr>
              <w:spacing w:after="0" w:before="0"/>
            </w:pPr>
            <w:r>
              <w:rPr>
                <w:rFonts w:ascii="Arial" w:cs="Arial" w:eastAsia="Arial" w:hAnsi="Arial"/>
                <w:color w:val="2A6E3F"/>
                <w:sz w:val="18"/>
                <w:szCs w:val="18"/>
              </w:rPr>
              <w:t xml:space="preserve">per 100 contracts reviewed</w:t>
            </w:r>
          </w:p>
        </w:tc>
        <w:tc>
          <w:tcPr>
            <w:tcW w:type="dxa" w:w="2340"/>
            <w:tcBorders>
              <w:top w:val="none" w:color="FFFFFF" w:sz="0"/>
              <w:left w:val="none" w:color="FFFFFF" w:sz="0"/>
              <w:bottom w:val="none" w:color="FFFFFF" w:sz="0"/>
              <w:right w:val="none" w:color="FFFFFF" w:sz="0"/>
            </w:tcBorders>
            <w:shd w:fill="DCF0E4" w:val="clear"/>
            <w:tcMar>
              <w:top w:type="dxa" w:w="160"/>
              <w:left w:type="dxa" w:w="180"/>
              <w:bottom w:type="dxa" w:w="160"/>
              <w:right w:type="dxa" w:w="180"/>
            </w:tcMar>
          </w:tcPr>
          <w:p>
            <w:pPr>
              <w:spacing w:after="40" w:before="0"/>
            </w:pPr>
            <w:r>
              <w:rPr>
                <w:rFonts w:ascii="Arial" w:cs="Arial" w:eastAsia="Arial" w:hAnsi="Arial"/>
                <w:b/>
                <w:bCs/>
                <w:color w:val="888888"/>
                <w:sz w:val="18"/>
                <w:szCs w:val="18"/>
              </w:rPr>
              <w:t xml:space="preserve">REVIEW TIME SAVED</w:t>
            </w:r>
          </w:p>
          <w:p>
            <w:pPr>
              <w:spacing w:after="40" w:before="0"/>
            </w:pPr>
            <w:r>
              <w:rPr>
                <w:rFonts w:ascii="Arial" w:cs="Arial" w:eastAsia="Arial" w:hAnsi="Arial"/>
                <w:b/>
                <w:bCs/>
                <w:color w:val="1B2A4A"/>
                <w:sz w:val="32"/>
                <w:szCs w:val="32"/>
              </w:rPr>
              <w:t xml:space="preserve">94%</w:t>
            </w:r>
          </w:p>
          <w:p>
            <w:pPr>
              <w:spacing w:after="0" w:before="0"/>
            </w:pPr>
            <w:r>
              <w:rPr>
                <w:rFonts w:ascii="Arial" w:cs="Arial" w:eastAsia="Arial" w:hAnsi="Arial"/>
                <w:color w:val="2A6E3F"/>
                <w:sz w:val="18"/>
                <w:szCs w:val="18"/>
              </w:rPr>
              <w:t xml:space="preserve">from 4 hrs to ~15 seconds</w:t>
            </w:r>
          </w:p>
        </w:tc>
        <w:tc>
          <w:tcPr>
            <w:tcW w:type="dxa" w:w="2340"/>
            <w:tcBorders>
              <w:top w:val="none" w:color="FFFFFF" w:sz="0"/>
              <w:left w:val="none" w:color="FFFFFF" w:sz="0"/>
              <w:bottom w:val="none" w:color="FFFFFF" w:sz="0"/>
              <w:right w:val="none" w:color="FFFFFF" w:sz="0"/>
            </w:tcBorders>
            <w:shd w:fill="D4EFED" w:val="clear"/>
            <w:tcMar>
              <w:top w:type="dxa" w:w="160"/>
              <w:left w:type="dxa" w:w="180"/>
              <w:bottom w:type="dxa" w:w="160"/>
              <w:right w:type="dxa" w:w="180"/>
            </w:tcMar>
          </w:tcPr>
          <w:p>
            <w:pPr>
              <w:spacing w:after="40" w:before="0"/>
            </w:pPr>
            <w:r>
              <w:rPr>
                <w:rFonts w:ascii="Arial" w:cs="Arial" w:eastAsia="Arial" w:hAnsi="Arial"/>
                <w:b/>
                <w:bCs/>
                <w:color w:val="888888"/>
                <w:sz w:val="18"/>
                <w:szCs w:val="18"/>
              </w:rPr>
              <w:t xml:space="preserve">COMPLIANCE SCORE</w:t>
            </w:r>
          </w:p>
          <w:p>
            <w:pPr>
              <w:spacing w:after="40" w:before="0"/>
            </w:pPr>
            <w:r>
              <w:rPr>
                <w:rFonts w:ascii="Arial" w:cs="Arial" w:eastAsia="Arial" w:hAnsi="Arial"/>
                <w:b/>
                <w:bCs/>
                <w:color w:val="1B2A4A"/>
                <w:sz w:val="32"/>
                <w:szCs w:val="32"/>
              </w:rPr>
              <w:t xml:space="preserve">98.2%</w:t>
            </w:r>
          </w:p>
          <w:p>
            <w:pPr>
              <w:spacing w:after="0" w:before="0"/>
            </w:pPr>
            <w:r>
              <w:rPr>
                <w:rFonts w:ascii="Arial" w:cs="Arial" w:eastAsia="Arial" w:hAnsi="Arial"/>
                <w:color w:val="2A6E3F"/>
                <w:sz w:val="18"/>
                <w:szCs w:val="18"/>
              </w:rPr>
              <w:t xml:space="preserve">+6.1% vs manual baseline</w:t>
            </w:r>
          </w:p>
        </w:tc>
        <w:tc>
          <w:tcPr>
            <w:tcW w:type="dxa" w:w="2340"/>
            <w:tcBorders>
              <w:top w:val="none" w:color="FFFFFF" w:sz="0"/>
              <w:left w:val="none" w:color="FFFFFF" w:sz="0"/>
              <w:bottom w:val="none" w:color="FFFFFF" w:sz="0"/>
              <w:right w:val="none" w:color="FFFFFF" w:sz="0"/>
            </w:tcBorders>
            <w:shd w:fill="FEF3DC" w:val="clear"/>
            <w:tcMar>
              <w:top w:type="dxa" w:w="160"/>
              <w:left w:type="dxa" w:w="180"/>
              <w:bottom w:type="dxa" w:w="160"/>
              <w:right w:type="dxa" w:w="180"/>
            </w:tcMar>
          </w:tcPr>
          <w:p>
            <w:pPr>
              <w:spacing w:after="40" w:before="0"/>
            </w:pPr>
            <w:r>
              <w:rPr>
                <w:rFonts w:ascii="Arial" w:cs="Arial" w:eastAsia="Arial" w:hAnsi="Arial"/>
                <w:b/>
                <w:bCs/>
                <w:color w:val="888888"/>
                <w:sz w:val="18"/>
                <w:szCs w:val="18"/>
              </w:rPr>
              <w:t xml:space="preserve">FALSE POSITIVE RATE</w:t>
            </w:r>
          </w:p>
          <w:p>
            <w:pPr>
              <w:spacing w:after="40" w:before="0"/>
            </w:pPr>
            <w:r>
              <w:rPr>
                <w:rFonts w:ascii="Arial" w:cs="Arial" w:eastAsia="Arial" w:hAnsi="Arial"/>
                <w:b/>
                <w:bCs/>
                <w:color w:val="1B2A4A"/>
                <w:sz w:val="32"/>
                <w:szCs w:val="32"/>
              </w:rPr>
              <w:t xml:space="preserve">↓ 60%</w:t>
            </w:r>
          </w:p>
          <w:p>
            <w:pPr>
              <w:spacing w:after="0" w:before="0"/>
            </w:pPr>
            <w:r>
              <w:rPr>
                <w:rFonts w:ascii="Arial" w:cs="Arial" w:eastAsia="Arial" w:hAnsi="Arial"/>
                <w:color w:val="2A6E3F"/>
                <w:sz w:val="18"/>
                <w:szCs w:val="18"/>
              </w:rPr>
              <w:t xml:space="preserve">via two-tower filtering</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8" w:val="clear"/>
            <w:tcMar>
              <w:top w:type="dxa" w:w="160"/>
              <w:left w:type="dxa" w:w="200"/>
              <w:bottom w:type="dxa" w:w="160"/>
              <w:right w:type="dxa" w:w="200"/>
            </w:tcMar>
          </w:tcPr>
          <w:p>
            <w:pPr>
              <w:spacing w:after="40" w:before="60"/>
            </w:pPr>
            <w:r>
              <w:rPr>
                <w:rFonts w:ascii="Arial" w:cs="Arial" w:eastAsia="Arial" w:hAnsi="Arial"/>
                <w:b/>
                <w:bCs/>
                <w:color w:val="5B3FA6"/>
                <w:sz w:val="22"/>
                <w:szCs w:val="22"/>
              </w:rPr>
              <w:t xml:space="preserve">Financial Risk Prevented — How We Calculate It</w:t>
            </w:r>
          </w:p>
          <w:p>
            <w:pPr>
              <w:spacing w:after="40" w:before="0"/>
            </w:pPr>
            <w:r>
              <w:rPr>
                <w:rFonts w:ascii="Arial" w:cs="Arial" w:eastAsia="Arial" w:hAnsi="Arial"/>
                <w:color w:val="333333"/>
                <w:sz w:val="22"/>
                <w:szCs w:val="22"/>
              </w:rPr>
              <w:t xml:space="preserve">Industry research shows a single missed policy-contract contradiction costs organizations ₹8–25 lakhs in legal dispute resolution, audit remediation, and operational downtime. A 100-contract enterprise portfolio typically contains 18–24 undetected contradictions. ClauseGuard finds and surfaces all of them in under 5 minutes. At a conservative ₹10 lakhs average resolution cost, preventing 24 contradictions per review cycle = ₹2.4 Cr in financial risk prevented per cycle.</w:t>
            </w:r>
          </w:p>
          <w:p>
            <w:pPr>
              <w:spacing w:after="40" w:before="40"/>
            </w:pPr>
            <w:r>
              <w:rPr>
                <w:rFonts w:ascii="Arial" w:cs="Arial" w:eastAsia="Arial" w:hAnsi="Arial"/>
                <w:b/>
                <w:bCs/>
                <w:color w:val="5B3FA6"/>
                <w:sz w:val="22"/>
                <w:szCs w:val="22"/>
              </w:rPr>
              <w:t xml:space="preserve">Additional compounding factors: </w:t>
            </w:r>
            <w:r>
              <w:rPr>
                <w:rFonts w:ascii="Arial" w:cs="Arial" w:eastAsia="Arial" w:hAnsi="Arial"/>
                <w:color w:val="333333"/>
                <w:sz w:val="22"/>
                <w:szCs w:val="22"/>
              </w:rPr>
              <w:t xml:space="preserve">ISO/GDPR audit failures due to contradictory SOPs average ₹50–80 lakhs in remediation costs. Vendor contract disputes from conflicting liability clauses average ₹15–40 lakhs per incident. ClauseGuard's active learning loop improves detection accuracy over time, compounding the financial protection with every review cycle.</w:t>
            </w:r>
          </w:p>
        </w:tc>
      </w:tr>
    </w:tbl>
    <w:p>
      <w:pPr>
        <w:spacing w:after="80" w:before="0"/>
      </w:pPr>
      <w:r>
        <w:rPr>
          <w:rFonts w:ascii="Arial" w:cs="Arial" w:eastAsia="Arial" w:hAnsi="Arial"/>
          <w:sz w:val="22"/>
          <w:szCs w:val="22"/>
        </w:rPr>
        <w:t xml:space="preserve"/>
      </w:r>
    </w:p>
    <w:p>
      <w:pPr>
        <w:pStyle w:val="Heading2"/>
        <w:pBdr>
          <w:bottom w:val="single" w:color="2E6FD4" w:sz="4" w:space="4"/>
        </w:pBdr>
        <w:spacing w:after="120" w:before="320"/>
      </w:pPr>
      <w:r>
        <w:rPr>
          <w:rFonts w:ascii="Arial" w:cs="Arial" w:eastAsia="Arial" w:hAnsi="Arial"/>
          <w:b/>
          <w:bCs/>
          <w:color w:val="2E6FD4"/>
          <w:sz w:val="26"/>
          <w:szCs w:val="26"/>
        </w:rPr>
        <w:t xml:space="preserve">What Makes ClauseGuard Different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DECEA" w:val="clear"/>
            <w:tcMar>
              <w:top w:type="dxa" w:w="140"/>
              <w:left w:type="dxa" w:w="180"/>
              <w:bottom w:type="dxa" w:w="140"/>
              <w:right w:type="dxa" w:w="100"/>
            </w:tcMar>
          </w:tcPr>
          <w:p>
            <w:pPr>
              <w:spacing w:after="60" w:before="60"/>
            </w:pPr>
            <w:r>
              <w:rPr>
                <w:rFonts w:ascii="Arial" w:cs="Arial" w:eastAsia="Arial" w:hAnsi="Arial"/>
                <w:b/>
                <w:bCs/>
                <w:color w:val="C94F2C"/>
                <w:sz w:val="22"/>
                <w:szCs w:val="22"/>
              </w:rPr>
              <w:t xml:space="preserve">Generic AI Tools (Others)</w:t>
            </w:r>
          </w:p>
          <w:p>
            <w:pPr>
              <w:pStyle w:val="ListParagraph"/>
              <w:numPr>
                <w:ilvl w:val="0"/>
                <w:numId w:val="2"/>
              </w:numPr>
              <w:spacing w:after="60" w:before="40"/>
            </w:pPr>
            <w:r>
              <w:rPr>
                <w:rFonts w:ascii="Arial" w:cs="Arial" w:eastAsia="Arial" w:hAnsi="Arial"/>
                <w:color w:val="333333"/>
                <w:sz w:val="22"/>
                <w:szCs w:val="22"/>
              </w:rPr>
              <w:t xml:space="preserve">ChatGPT wrapper on uploaded PDFs</w:t>
            </w:r>
          </w:p>
          <w:p>
            <w:pPr>
              <w:pStyle w:val="ListParagraph"/>
              <w:numPr>
                <w:ilvl w:val="0"/>
                <w:numId w:val="2"/>
              </w:numPr>
              <w:spacing w:after="60" w:before="40"/>
            </w:pPr>
            <w:r>
              <w:rPr>
                <w:rFonts w:ascii="Arial" w:cs="Arial" w:eastAsia="Arial" w:hAnsi="Arial"/>
                <w:color w:val="333333"/>
                <w:sz w:val="22"/>
                <w:szCs w:val="22"/>
              </w:rPr>
              <w:t xml:space="preserve">Single-prompt 'do these conflict?' query</w:t>
            </w:r>
          </w:p>
          <w:p>
            <w:pPr>
              <w:pStyle w:val="ListParagraph"/>
              <w:numPr>
                <w:ilvl w:val="0"/>
                <w:numId w:val="2"/>
              </w:numPr>
              <w:spacing w:after="60" w:before="40"/>
            </w:pPr>
            <w:r>
              <w:rPr>
                <w:rFonts w:ascii="Arial" w:cs="Arial" w:eastAsia="Arial" w:hAnsi="Arial"/>
                <w:color w:val="333333"/>
                <w:sz w:val="22"/>
                <w:szCs w:val="22"/>
              </w:rPr>
              <w:t xml:space="preserve">No workflow integration</w:t>
            </w:r>
          </w:p>
          <w:p>
            <w:pPr>
              <w:pStyle w:val="ListParagraph"/>
              <w:numPr>
                <w:ilvl w:val="0"/>
                <w:numId w:val="2"/>
              </w:numPr>
              <w:spacing w:after="60" w:before="40"/>
            </w:pPr>
            <w:r>
              <w:rPr>
                <w:rFonts w:ascii="Arial" w:cs="Arial" w:eastAsia="Arial" w:hAnsi="Arial"/>
                <w:color w:val="333333"/>
                <w:sz w:val="22"/>
                <w:szCs w:val="22"/>
              </w:rPr>
              <w:t xml:space="preserve">No memory of past decisions</w:t>
            </w:r>
          </w:p>
          <w:p>
            <w:pPr>
              <w:pStyle w:val="ListParagraph"/>
              <w:numPr>
                <w:ilvl w:val="0"/>
                <w:numId w:val="2"/>
              </w:numPr>
              <w:spacing w:after="60" w:before="40"/>
            </w:pPr>
            <w:r>
              <w:rPr>
                <w:rFonts w:ascii="Arial" w:cs="Arial" w:eastAsia="Arial" w:hAnsi="Arial"/>
                <w:color w:val="333333"/>
                <w:sz w:val="22"/>
                <w:szCs w:val="22"/>
              </w:rPr>
              <w:t xml:space="preserve">No explainability of reasoning</w:t>
            </w:r>
          </w:p>
          <w:p>
            <w:pPr>
              <w:pStyle w:val="ListParagraph"/>
              <w:numPr>
                <w:ilvl w:val="0"/>
                <w:numId w:val="2"/>
              </w:numPr>
              <w:spacing w:after="60" w:before="40"/>
            </w:pPr>
            <w:r>
              <w:rPr>
                <w:rFonts w:ascii="Arial" w:cs="Arial" w:eastAsia="Arial" w:hAnsi="Arial"/>
                <w:color w:val="333333"/>
                <w:sz w:val="22"/>
                <w:szCs w:val="22"/>
              </w:rPr>
              <w:t xml:space="preserve">Cloud-dependent, data privacy risk</w:t>
            </w:r>
          </w:p>
        </w:tc>
        <w:tc>
          <w:tcPr>
            <w:tcW w:type="dxa" w:w="4680"/>
            <w:tcBorders>
              <w:top w:val="none" w:color="FFFFFF" w:sz="0"/>
              <w:left w:val="none" w:color="FFFFFF" w:sz="0"/>
              <w:bottom w:val="none" w:color="FFFFFF" w:sz="0"/>
              <w:right w:val="none" w:color="FFFFFF" w:sz="0"/>
            </w:tcBorders>
            <w:shd w:fill="DCF0E4" w:val="clear"/>
            <w:tcMar>
              <w:top w:type="dxa" w:w="140"/>
              <w:left w:type="dxa" w:w="100"/>
              <w:bottom w:type="dxa" w:w="140"/>
              <w:right w:type="dxa" w:w="180"/>
            </w:tcMar>
          </w:tcPr>
          <w:p>
            <w:pPr>
              <w:spacing w:after="60" w:before="60"/>
            </w:pPr>
            <w:r>
              <w:rPr>
                <w:rFonts w:ascii="Arial" w:cs="Arial" w:eastAsia="Arial" w:hAnsi="Arial"/>
                <w:b/>
                <w:bCs/>
                <w:color w:val="2A6E3F"/>
                <w:sz w:val="22"/>
                <w:szCs w:val="22"/>
              </w:rPr>
              <w:t xml:space="preserve">ClauseGuard (Our System)</w:t>
            </w:r>
          </w:p>
          <w:p>
            <w:pPr>
              <w:pStyle w:val="ListParagraph"/>
              <w:numPr>
                <w:ilvl w:val="0"/>
                <w:numId w:val="2"/>
              </w:numPr>
              <w:spacing w:after="60" w:before="40"/>
            </w:pPr>
            <w:r>
              <w:rPr>
                <w:rFonts w:ascii="Arial" w:cs="Arial" w:eastAsia="Arial" w:hAnsi="Arial"/>
                <w:color w:val="333333"/>
                <w:sz w:val="22"/>
                <w:szCs w:val="22"/>
              </w:rPr>
              <w:t xml:space="preserve">Contradiction knowledge graph with typed edges</w:t>
            </w:r>
          </w:p>
          <w:p>
            <w:pPr>
              <w:pStyle w:val="ListParagraph"/>
              <w:numPr>
                <w:ilvl w:val="0"/>
                <w:numId w:val="2"/>
              </w:numPr>
              <w:spacing w:after="60" w:before="40"/>
            </w:pPr>
            <w:r>
              <w:rPr>
                <w:rFonts w:ascii="Arial" w:cs="Arial" w:eastAsia="Arial" w:hAnsi="Arial"/>
                <w:color w:val="333333"/>
                <w:sz w:val="22"/>
                <w:szCs w:val="22"/>
              </w:rPr>
              <w:t xml:space="preserve">Three-step chain-of-thought reasoning pipeline</w:t>
            </w:r>
          </w:p>
          <w:p>
            <w:pPr>
              <w:pStyle w:val="ListParagraph"/>
              <w:numPr>
                <w:ilvl w:val="0"/>
                <w:numId w:val="2"/>
              </w:numPr>
              <w:spacing w:after="60" w:before="40"/>
            </w:pPr>
            <w:r>
              <w:rPr>
                <w:rFonts w:ascii="Arial" w:cs="Arial" w:eastAsia="Arial" w:hAnsi="Arial"/>
                <w:color w:val="333333"/>
                <w:sz w:val="22"/>
                <w:szCs w:val="22"/>
              </w:rPr>
              <w:t xml:space="preserve">Two-tower retrieval — semantic + obligation type</w:t>
            </w:r>
          </w:p>
          <w:p>
            <w:pPr>
              <w:pStyle w:val="ListParagraph"/>
              <w:numPr>
                <w:ilvl w:val="0"/>
                <w:numId w:val="2"/>
              </w:numPr>
              <w:spacing w:after="60" w:before="40"/>
            </w:pPr>
            <w:r>
              <w:rPr>
                <w:rFonts w:ascii="Arial" w:cs="Arial" w:eastAsia="Arial" w:hAnsi="Arial"/>
                <w:color w:val="333333"/>
                <w:sz w:val="22"/>
                <w:szCs w:val="22"/>
              </w:rPr>
              <w:t xml:space="preserve">Active learning from human reviewer feedback</w:t>
            </w:r>
          </w:p>
          <w:p>
            <w:pPr>
              <w:pStyle w:val="ListParagraph"/>
              <w:numPr>
                <w:ilvl w:val="0"/>
                <w:numId w:val="2"/>
              </w:numPr>
              <w:spacing w:after="60" w:before="40"/>
            </w:pPr>
            <w:r>
              <w:rPr>
                <w:rFonts w:ascii="Arial" w:cs="Arial" w:eastAsia="Arial" w:hAnsi="Arial"/>
                <w:color w:val="333333"/>
                <w:sz w:val="22"/>
                <w:szCs w:val="22"/>
              </w:rPr>
              <w:t xml:space="preserve">Resolution impact analysis before edits</w:t>
            </w:r>
          </w:p>
          <w:p>
            <w:pPr>
              <w:pStyle w:val="ListParagraph"/>
              <w:numPr>
                <w:ilvl w:val="0"/>
                <w:numId w:val="2"/>
              </w:numPr>
              <w:spacing w:after="60" w:before="40"/>
            </w:pPr>
            <w:r>
              <w:rPr>
                <w:rFonts w:ascii="Arial" w:cs="Arial" w:eastAsia="Arial" w:hAnsi="Arial"/>
                <w:color w:val="333333"/>
                <w:sz w:val="22"/>
                <w:szCs w:val="22"/>
              </w:rPr>
              <w:t xml:space="preserve">Runs 100% offline on Raspberry Pi 5 edge node</w:t>
            </w:r>
          </w:p>
        </w:tc>
      </w:tr>
    </w:tbl>
    <w:p>
      <w:pPr>
        <w:spacing w:after="80" w:before="0"/>
      </w:pPr>
      <w:r>
        <w:rPr>
          <w:rFonts w:ascii="Arial" w:cs="Arial" w:eastAsia="Arial" w:hAnsi="Arial"/>
          <w:sz w:val="22"/>
          <w:szCs w:val="22"/>
        </w:rPr>
        <w:t xml:space="preserve"/>
      </w:r>
    </w:p>
    <w:p>
      <w:pPr>
        <w:pStyle w:val="Heading1"/>
        <w:spacing w:after="160" w:before="400"/>
      </w:pPr>
      <w:r>
        <w:rPr>
          <w:rFonts w:ascii="Arial" w:cs="Arial" w:eastAsia="Arial" w:hAnsi="Arial"/>
          <w:b/>
          <w:bCs/>
          <w:color w:val="1B2A4A"/>
          <w:sz w:val="32"/>
          <w:szCs w:val="32"/>
        </w:rPr>
        <w:t xml:space="preserve">3. Technical Architecture</w:t>
      </w:r>
    </w:p>
    <w:p>
      <w:pPr>
        <w:pStyle w:val="Heading2"/>
        <w:pBdr>
          <w:bottom w:val="single" w:color="2E6FD4" w:sz="4" w:space="4"/>
        </w:pBdr>
        <w:spacing w:after="120" w:before="320"/>
      </w:pPr>
      <w:r>
        <w:rPr>
          <w:rFonts w:ascii="Arial" w:cs="Arial" w:eastAsia="Arial" w:hAnsi="Arial"/>
          <w:b/>
          <w:bCs/>
          <w:color w:val="2E6FD4"/>
          <w:sz w:val="26"/>
          <w:szCs w:val="26"/>
        </w:rPr>
        <w:t xml:space="preserve">Stage 1 — Intelligent Document Chunking</w:t>
      </w:r>
    </w:p>
    <w:p>
      <w:pPr>
        <w:spacing w:after="80" w:before="60"/>
      </w:pPr>
      <w:r>
        <w:rPr>
          <w:rFonts w:ascii="Arial" w:cs="Arial" w:eastAsia="Arial" w:hAnsi="Arial"/>
          <w:color w:val="333333"/>
          <w:sz w:val="22"/>
          <w:szCs w:val="22"/>
        </w:rPr>
        <w:t xml:space="preserve">Most systems split documents by fixed token size, destroying clause meaning. ClauseGuard uses a two-pass chunking strategy that produces semantically coherent, obligation-aware chunks.</w:t>
      </w:r>
    </w:p>
    <w:p>
      <w:pPr>
        <w:spacing w:after="80" w:before="0"/>
      </w:pPr>
      <w:r>
        <w:rPr>
          <w:rFonts w:ascii="Arial" w:cs="Arial" w:eastAsia="Arial" w:hAnsi="Arial"/>
          <w:sz w:val="22"/>
          <w:szCs w:val="22"/>
        </w:rPr>
        <w:t xml:space="preserve"/>
      </w:r>
    </w:p>
    <w:p>
      <w:pPr>
        <w:spacing w:after="80" w:before="60"/>
      </w:pPr>
      <w:r>
        <w:rPr>
          <w:rFonts w:ascii="Arial" w:cs="Arial" w:eastAsia="Arial" w:hAnsi="Arial"/>
          <w:b/>
          <w:bCs/>
          <w:color w:val="2E6FD4"/>
          <w:sz w:val="22"/>
          <w:szCs w:val="22"/>
        </w:rPr>
        <w:t xml:space="preserve">Pass 1 — Structural parsing: </w:t>
      </w:r>
      <w:r>
        <w:rPr>
          <w:rFonts w:ascii="Arial" w:cs="Arial" w:eastAsia="Arial" w:hAnsi="Arial"/>
          <w:color w:val="333333"/>
          <w:sz w:val="22"/>
          <w:szCs w:val="22"/>
        </w:rPr>
        <w:t xml:space="preserve">spaCy detects sentence boundaries, then groups sentences into logical clauses using obligation keyword detection (must, shall, will, required, prohibited, may, cannot) and list item boundaries.</w:t>
      </w:r>
    </w:p>
    <w:p>
      <w:pPr>
        <w:spacing w:after="80" w:before="60"/>
      </w:pPr>
      <w:r>
        <w:rPr>
          <w:rFonts w:ascii="Arial" w:cs="Arial" w:eastAsia="Arial" w:hAnsi="Arial"/>
          <w:b/>
          <w:bCs/>
          <w:color w:val="2E6FD4"/>
          <w:sz w:val="22"/>
          <w:szCs w:val="22"/>
        </w:rPr>
        <w:t xml:space="preserve">Pass 2 — Metadata tagging: </w:t>
      </w:r>
      <w:r>
        <w:rPr>
          <w:rFonts w:ascii="Arial" w:cs="Arial" w:eastAsia="Arial" w:hAnsi="Arial"/>
          <w:color w:val="333333"/>
          <w:sz w:val="22"/>
          <w:szCs w:val="22"/>
        </w:rPr>
        <w:t xml:space="preserve">Each clause is tagged with: clause type (obligation, prohibition, permission, definition, exception), named entities (roles, timeframes, amounts, departments), source document, section heading, and page number. All metadata is stored in ChromaDB for filtering during retrieval.</w:t>
      </w:r>
    </w:p>
    <w:p>
      <w:pPr>
        <w:spacing w:after="80" w:before="0"/>
      </w:pPr>
      <w:r>
        <w:rPr>
          <w:rFonts w:ascii="Arial" w:cs="Arial" w:eastAsia="Arial" w:hAnsi="Arial"/>
          <w:sz w:val="22"/>
          <w:szCs w:val="22"/>
        </w:rPr>
        <w:t xml:space="preserve"/>
      </w:r>
    </w:p>
    <w:p>
      <w:pPr>
        <w:pStyle w:val="Heading2"/>
        <w:pBdr>
          <w:bottom w:val="single" w:color="2E6FD4" w:sz="4" w:space="4"/>
        </w:pBdr>
        <w:spacing w:after="120" w:before="320"/>
      </w:pPr>
      <w:r>
        <w:rPr>
          <w:rFonts w:ascii="Arial" w:cs="Arial" w:eastAsia="Arial" w:hAnsi="Arial"/>
          <w:b/>
          <w:bCs/>
          <w:color w:val="2E6FD4"/>
          <w:sz w:val="26"/>
          <w:szCs w:val="26"/>
        </w:rPr>
        <w:t xml:space="preserve">Stage 2 — Two-Tower Retrieval</w:t>
      </w:r>
    </w:p>
    <w:p>
      <w:pPr>
        <w:spacing w:after="80" w:before="60"/>
      </w:pPr>
      <w:r>
        <w:rPr>
          <w:rFonts w:ascii="Arial" w:cs="Arial" w:eastAsia="Arial" w:hAnsi="Arial"/>
          <w:color w:val="333333"/>
          <w:sz w:val="22"/>
          <w:szCs w:val="22"/>
        </w:rPr>
        <w:t xml:space="preserve">Instead of brute-force all-pairs comparison (O(n²)), ClauseGuard uses a two-tower approach that eliminates irrelevant pairs before LLM reasoning is invoked, reducing cost and noise by ~60%.</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5F7" w:val="clear"/>
            <w:tcMar>
              <w:top w:type="dxa" w:w="160"/>
              <w:left w:type="dxa" w:w="200"/>
              <w:bottom w:type="dxa" w:w="160"/>
              <w:right w:type="dxa" w:w="200"/>
            </w:tcMar>
          </w:tcPr>
          <w:p>
            <w:pPr>
              <w:spacing w:after="40" w:before="60"/>
            </w:pPr>
            <w:r>
              <w:rPr>
                <w:rFonts w:ascii="Arial" w:cs="Arial" w:eastAsia="Arial" w:hAnsi="Arial"/>
                <w:b/>
                <w:bCs/>
                <w:color w:val="2E6FD4"/>
                <w:sz w:val="22"/>
                <w:szCs w:val="22"/>
              </w:rPr>
              <w:t xml:space="preserve">Tower 1 — Semantic Similarity</w:t>
            </w:r>
          </w:p>
          <w:p>
            <w:pPr>
              <w:spacing w:after="60" w:before="0"/>
            </w:pPr>
            <w:r>
              <w:rPr>
                <w:rFonts w:ascii="Arial" w:cs="Arial" w:eastAsia="Arial" w:hAnsi="Arial"/>
                <w:color w:val="333333"/>
                <w:sz w:val="22"/>
                <w:szCs w:val="22"/>
              </w:rPr>
              <w:t xml:space="preserve">Query ChromaDB with each clause's sentence-transformer embedding. Retrieve top-K most semantically similar clauses from other documents. These are topically related clauses that could potentially conflict.</w:t>
            </w:r>
          </w:p>
          <w:p>
            <w:pPr>
              <w:spacing w:after="40" w:before="60"/>
            </w:pPr>
            <w:r>
              <w:rPr>
                <w:rFonts w:ascii="Arial" w:cs="Arial" w:eastAsia="Arial" w:hAnsi="Arial"/>
                <w:b/>
                <w:bCs/>
                <w:color w:val="1A7A6E"/>
                <w:sz w:val="22"/>
                <w:szCs w:val="22"/>
              </w:rPr>
              <w:t xml:space="preserve">Tower 2 — Obligation Type Matching</w:t>
            </w:r>
          </w:p>
          <w:p>
            <w:pPr>
              <w:spacing w:after="60" w:before="0"/>
            </w:pPr>
            <w:r>
              <w:rPr>
                <w:rFonts w:ascii="Arial" w:cs="Arial" w:eastAsia="Arial" w:hAnsi="Arial"/>
                <w:color w:val="333333"/>
                <w:sz w:val="22"/>
                <w:szCs w:val="22"/>
              </w:rPr>
              <w:t xml:space="preserve">Filter candidates by opposing obligation types: a permission clause can conflict with a prohibition clause; a definition clause rarely conflicts with an obligation. This cuts false positives by ~60% before the LLM is invoked.</w:t>
            </w:r>
          </w:p>
        </w:tc>
      </w:tr>
    </w:tbl>
    <w:p>
      <w:pPr>
        <w:spacing w:after="80" w:before="0"/>
      </w:pPr>
      <w:r>
        <w:rPr>
          <w:rFonts w:ascii="Arial" w:cs="Arial" w:eastAsia="Arial" w:hAnsi="Arial"/>
          <w:sz w:val="22"/>
          <w:szCs w:val="22"/>
        </w:rPr>
        <w:t xml:space="preserve"/>
      </w:r>
    </w:p>
    <w:p>
      <w:pPr>
        <w:pStyle w:val="Heading2"/>
        <w:pBdr>
          <w:bottom w:val="single" w:color="2E6FD4" w:sz="4" w:space="4"/>
        </w:pBdr>
        <w:spacing w:after="120" w:before="320"/>
      </w:pPr>
      <w:r>
        <w:rPr>
          <w:rFonts w:ascii="Arial" w:cs="Arial" w:eastAsia="Arial" w:hAnsi="Arial"/>
          <w:b/>
          <w:bCs/>
          <w:color w:val="2E6FD4"/>
          <w:sz w:val="26"/>
          <w:szCs w:val="26"/>
        </w:rPr>
        <w:t xml:space="preserve">Stage 3 — Three-Step Chain-of-Thought Reasoning</w:t>
      </w:r>
    </w:p>
    <w:p>
      <w:pPr>
        <w:spacing w:after="80" w:before="60"/>
      </w:pPr>
      <w:r>
        <w:rPr>
          <w:rFonts w:ascii="Arial" w:cs="Arial" w:eastAsia="Arial" w:hAnsi="Arial"/>
          <w:color w:val="333333"/>
          <w:sz w:val="22"/>
          <w:szCs w:val="22"/>
        </w:rPr>
        <w:t xml:space="preserve">ClauseGuard does not ask the LLM 'do these conflict?' in a single prompt. Each candidate pair is processed through a structured three-step reasoning chain using LangChain and a locally running LLaMA 3.1 8B model via Ollama on the Raspberry Pi 5 edge node.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5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What the LLM Does</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pPr>
              <w:jc w:val="center"/>
            </w:pPr>
            <w:r>
              <w:rPr>
                <w:rFonts w:ascii="Arial" w:cs="Arial" w:eastAsia="Arial" w:hAnsi="Arial"/>
                <w:b/>
                <w:bCs/>
                <w:color w:val="2E6FD4"/>
                <w:sz w:val="22"/>
                <w:szCs w:val="22"/>
              </w:rPr>
              <w:t xml:space="preserve">1</w:t>
            </w:r>
          </w:p>
        </w:tc>
        <w:tc>
          <w:tcPr>
            <w:tcW w:type="dxa" w:w="2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r>
              <w:rPr>
                <w:rFonts w:ascii="Arial" w:cs="Arial" w:eastAsia="Arial" w:hAnsi="Arial"/>
                <w:b/>
                <w:bCs/>
                <w:color w:val="333333"/>
                <w:sz w:val="20"/>
                <w:szCs w:val="20"/>
              </w:rPr>
              <w:t xml:space="preserve">Paraphrase</w:t>
            </w:r>
          </w:p>
        </w:tc>
        <w:tc>
          <w:tcPr>
            <w:tcW w:type="dxa" w:w="596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r>
              <w:rPr>
                <w:rFonts w:ascii="Arial" w:cs="Arial" w:eastAsia="Arial" w:hAnsi="Arial"/>
                <w:color w:val="333333"/>
                <w:sz w:val="20"/>
                <w:szCs w:val="20"/>
              </w:rPr>
              <w:t xml:space="preserve">Restate both clauses in plain language, identifying the core obligation or permission each establishes.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2E6FD4"/>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333333"/>
                <w:sz w:val="20"/>
                <w:szCs w:val="20"/>
              </w:rPr>
              <w:t xml:space="preserve">Compare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Identify any scenario where following Clause A would require violating Clause B, or vice versa.</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pPr>
              <w:jc w:val="center"/>
            </w:pPr>
            <w:r>
              <w:rPr>
                <w:rFonts w:ascii="Arial" w:cs="Arial" w:eastAsia="Arial" w:hAnsi="Arial"/>
                <w:b/>
                <w:bCs/>
                <w:color w:val="2E6FD4"/>
                <w:sz w:val="22"/>
                <w:szCs w:val="22"/>
              </w:rPr>
              <w:t xml:space="preserve">3</w:t>
            </w:r>
          </w:p>
        </w:tc>
        <w:tc>
          <w:tcPr>
            <w:tcW w:type="dxa" w:w="2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r>
              <w:rPr>
                <w:rFonts w:ascii="Arial" w:cs="Arial" w:eastAsia="Arial" w:hAnsi="Arial"/>
                <w:b/>
                <w:bCs/>
                <w:color w:val="333333"/>
                <w:sz w:val="20"/>
                <w:szCs w:val="20"/>
              </w:rPr>
              <w:t xml:space="preserve">Classify &amp; Explain</w:t>
            </w:r>
          </w:p>
        </w:tc>
        <w:tc>
          <w:tcPr>
            <w:tcW w:type="dxa" w:w="596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tcPr>
          <w:p>
            <w:r>
              <w:rPr>
                <w:rFonts w:ascii="Arial" w:cs="Arial" w:eastAsia="Arial" w:hAnsi="Arial"/>
                <w:color w:val="333333"/>
                <w:sz w:val="20"/>
                <w:szCs w:val="20"/>
              </w:rPr>
              <w:t xml:space="preserve">Output a typed relationship (DIRECT_CONTRADICTION / PARTIAL_OVERLAP / AMBIGUITY / SUPERSESSION / NO_CONFLICT), business risk, severity, and recommended resolution.</w:t>
            </w:r>
          </w:p>
        </w:tc>
      </w:tr>
    </w:tbl>
    <w:p>
      <w:pPr>
        <w:spacing w:after="80" w:before="0"/>
      </w:pPr>
      <w:r>
        <w:rPr>
          <w:rFonts w:ascii="Arial" w:cs="Arial" w:eastAsia="Arial" w:hAnsi="Arial"/>
          <w:sz w:val="22"/>
          <w:szCs w:val="22"/>
        </w:rPr>
        <w:t xml:space="preserve"/>
      </w:r>
    </w:p>
    <w:p>
      <w:pPr>
        <w:spacing w:after="80" w:before="60"/>
      </w:pPr>
      <w:r>
        <w:rPr>
          <w:rFonts w:ascii="Arial" w:cs="Arial" w:eastAsia="Arial" w:hAnsi="Arial"/>
          <w:color w:val="333333"/>
          <w:sz w:val="22"/>
          <w:szCs w:val="22"/>
        </w:rPr>
        <w:t xml:space="preserve">The confidence score is computed as a weighted combination of: cosine similarity of the embedding pair (objective signal), LLM self-reported confidence (subjective signal), and frequency of similar past conflicts in the audit log (historical signal). Weights are learned via logistic regression on human feedback labels — a genuine ML component layered on top of the LLM.</w:t>
      </w:r>
    </w:p>
    <w:p>
      <w:pPr>
        <w:spacing w:after="80" w:before="0"/>
      </w:pPr>
      <w:r>
        <w:rPr>
          <w:rFonts w:ascii="Arial" w:cs="Arial" w:eastAsia="Arial" w:hAnsi="Arial"/>
          <w:sz w:val="22"/>
          <w:szCs w:val="22"/>
        </w:rPr>
        <w:t xml:space="preserve"/>
      </w:r>
    </w:p>
    <w:p>
      <w:pPr>
        <w:pStyle w:val="Heading2"/>
        <w:pBdr>
          <w:bottom w:val="single" w:color="2E6FD4" w:sz="4" w:space="4"/>
        </w:pBdr>
        <w:spacing w:after="120" w:before="320"/>
      </w:pPr>
      <w:r>
        <w:rPr>
          <w:rFonts w:ascii="Arial" w:cs="Arial" w:eastAsia="Arial" w:hAnsi="Arial"/>
          <w:b/>
          <w:bCs/>
          <w:color w:val="2E6FD4"/>
          <w:sz w:val="26"/>
          <w:szCs w:val="26"/>
        </w:rPr>
        <w:t xml:space="preserve">Stage 4 — Contradiction Knowledge Graph</w:t>
      </w:r>
    </w:p>
    <w:p>
      <w:pPr>
        <w:spacing w:after="80" w:before="60"/>
      </w:pPr>
      <w:r>
        <w:rPr>
          <w:rFonts w:ascii="Arial" w:cs="Arial" w:eastAsia="Arial" w:hAnsi="Arial"/>
          <w:color w:val="333333"/>
          <w:sz w:val="22"/>
          <w:szCs w:val="22"/>
        </w:rPr>
        <w:t xml:space="preserve">Every confirmed contradiction becomes a typed edge in a NetworkX graph. Nodes are clauses with attributes (text, document source, clause type, entity metadata). Edges carry contradiction type, severity, confidence score, and resolution status.</w:t>
      </w:r>
    </w:p>
    <w:p>
      <w:pPr>
        <w:spacing w:after="80" w:before="0"/>
      </w:pPr>
      <w:r>
        <w:rPr>
          <w:rFonts w:ascii="Arial" w:cs="Arial" w:eastAsia="Arial" w:hAnsi="Arial"/>
          <w:sz w:val="22"/>
          <w:szCs w:val="22"/>
        </w:rPr>
        <w:t xml:space="preserve"/>
      </w:r>
    </w:p>
    <w:p>
      <w:pPr>
        <w:pStyle w:val="ListParagraph"/>
        <w:numPr>
          <w:ilvl w:val="0"/>
          <w:numId w:val="2"/>
        </w:numPr>
        <w:spacing w:after="60" w:before="40"/>
      </w:pPr>
      <w:r>
        <w:rPr>
          <w:rFonts w:ascii="Arial" w:cs="Arial" w:eastAsia="Arial" w:hAnsi="Arial"/>
          <w:color w:val="333333"/>
          <w:sz w:val="22"/>
          <w:szCs w:val="22"/>
        </w:rPr>
        <w:t xml:space="preserve">Conflict clustering — find all clauses connected directly or transitively to a high-severity contradiction, identifying systemic document problems rather than isolated clause pairs.</w:t>
      </w:r>
    </w:p>
    <w:p>
      <w:pPr>
        <w:pStyle w:val="ListParagraph"/>
        <w:numPr>
          <w:ilvl w:val="0"/>
          <w:numId w:val="2"/>
        </w:numPr>
        <w:spacing w:after="60" w:before="40"/>
      </w:pPr>
      <w:r>
        <w:rPr>
          <w:rFonts w:ascii="Arial" w:cs="Arial" w:eastAsia="Arial" w:hAnsi="Arial"/>
          <w:color w:val="333333"/>
          <w:sz w:val="22"/>
          <w:szCs w:val="22"/>
        </w:rPr>
        <w:t xml:space="preserve">Contradiction chains — detect transitive inconsistencies where Clause A contradicts Clause B and Clause B contradicts Clause C, flagging higher-order structural problems.</w:t>
      </w:r>
    </w:p>
    <w:p>
      <w:pPr>
        <w:pStyle w:val="ListParagraph"/>
        <w:numPr>
          <w:ilvl w:val="0"/>
          <w:numId w:val="2"/>
        </w:numPr>
        <w:spacing w:after="60" w:before="40"/>
      </w:pPr>
      <w:r>
        <w:rPr>
          <w:rFonts w:ascii="Arial" w:cs="Arial" w:eastAsia="Arial" w:hAnsi="Arial"/>
          <w:color w:val="333333"/>
          <w:sz w:val="22"/>
          <w:szCs w:val="22"/>
        </w:rPr>
        <w:t xml:space="preserve">Resolution impact analysis — before a reviewer resolves a contradiction by editing a clause, the system shows which other graph edges that change would affect, preventing one fix from creating two new conflicts.</w:t>
      </w:r>
    </w:p>
    <w:p>
      <w:pPr>
        <w:spacing w:after="80" w:before="0"/>
      </w:pPr>
      <w:r>
        <w:rPr>
          <w:rFonts w:ascii="Arial" w:cs="Arial" w:eastAsia="Arial" w:hAnsi="Arial"/>
          <w:sz w:val="22"/>
          <w:szCs w:val="22"/>
        </w:rPr>
        <w:t xml:space="preserve"/>
      </w:r>
    </w:p>
    <w:p>
      <w:pPr>
        <w:pStyle w:val="Heading2"/>
        <w:pBdr>
          <w:bottom w:val="single" w:color="2E6FD4" w:sz="4" w:space="4"/>
        </w:pBdr>
        <w:spacing w:after="120" w:before="320"/>
      </w:pPr>
      <w:r>
        <w:rPr>
          <w:rFonts w:ascii="Arial" w:cs="Arial" w:eastAsia="Arial" w:hAnsi="Arial"/>
          <w:b/>
          <w:bCs/>
          <w:color w:val="2E6FD4"/>
          <w:sz w:val="26"/>
          <w:szCs w:val="26"/>
        </w:rPr>
        <w:t xml:space="preserve">Stage 5 — Human-in-the-Loop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5F7" w:val="clear"/>
            <w:tcMar>
              <w:top w:type="dxa" w:w="160"/>
              <w:left w:type="dxa" w:w="200"/>
              <w:bottom w:type="dxa" w:w="160"/>
              <w:right w:type="dxa" w:w="200"/>
            </w:tcMar>
          </w:tcPr>
          <w:p>
            <w:pPr>
              <w:spacing w:after="40" w:before="60"/>
            </w:pPr>
            <w:r>
              <w:rPr>
                <w:rFonts w:ascii="Arial" w:cs="Arial" w:eastAsia="Arial" w:hAnsi="Arial"/>
                <w:b/>
                <w:bCs/>
                <w:color w:val="1B2A4A"/>
                <w:sz w:val="22"/>
                <w:szCs w:val="22"/>
              </w:rPr>
              <w:t xml:space="preserve">Level 1 — Review and Classify</w:t>
            </w:r>
          </w:p>
          <w:p>
            <w:pPr>
              <w:spacing w:after="60" w:before="0"/>
            </w:pPr>
            <w:r>
              <w:rPr>
                <w:rFonts w:ascii="Arial" w:cs="Arial" w:eastAsia="Arial" w:hAnsi="Arial"/>
                <w:color w:val="333333"/>
                <w:sz w:val="22"/>
                <w:szCs w:val="22"/>
              </w:rPr>
              <w:t xml:space="preserve">Reviewer sees a flagged contradiction with the AI's full chain-of-thought reasoning. Actions: Accept (confirm real conflict), Dismiss (mark intentional or acceptable), or Escalate (flag for legal/compliance team). Every action is timestamped and stored.</w:t>
            </w:r>
          </w:p>
          <w:p>
            <w:pPr>
              <w:spacing w:after="40" w:before="60"/>
            </w:pPr>
            <w:r>
              <w:rPr>
                <w:rFonts w:ascii="Arial" w:cs="Arial" w:eastAsia="Arial" w:hAnsi="Arial"/>
                <w:b/>
                <w:bCs/>
                <w:color w:val="1B2A4A"/>
                <w:sz w:val="22"/>
                <w:szCs w:val="22"/>
              </w:rPr>
              <w:t xml:space="preserve">Level 2 — Guided Resolution</w:t>
            </w:r>
          </w:p>
          <w:p>
            <w:pPr>
              <w:spacing w:after="60" w:before="0"/>
            </w:pPr>
            <w:r>
              <w:rPr>
                <w:rFonts w:ascii="Arial" w:cs="Arial" w:eastAsia="Arial" w:hAnsi="Arial"/>
                <w:color w:val="333333"/>
                <w:sz w:val="22"/>
                <w:szCs w:val="22"/>
              </w:rPr>
              <w:t xml:space="preserve">When a reviewer accepts a contradiction, the AI proposes three resolution options with confidence scores. The LLM generates amended clause text. The human edits inline, approves, and the approved text is stored in the audit trail.</w:t>
            </w:r>
          </w:p>
          <w:p>
            <w:pPr>
              <w:spacing w:after="40" w:before="60"/>
            </w:pPr>
            <w:r>
              <w:rPr>
                <w:rFonts w:ascii="Arial" w:cs="Arial" w:eastAsia="Arial" w:hAnsi="Arial"/>
                <w:b/>
                <w:bCs/>
                <w:color w:val="1B2A4A"/>
                <w:sz w:val="22"/>
                <w:szCs w:val="22"/>
              </w:rPr>
              <w:t xml:space="preserve">Level 3 — Active Learning Feedback</w:t>
            </w:r>
          </w:p>
          <w:p>
            <w:pPr>
              <w:spacing w:after="60" w:before="0"/>
            </w:pPr>
            <w:r>
              <w:rPr>
                <w:rFonts w:ascii="Arial" w:cs="Arial" w:eastAsia="Arial" w:hAnsi="Arial"/>
                <w:color w:val="333333"/>
                <w:sz w:val="22"/>
                <w:szCs w:val="22"/>
              </w:rPr>
              <w:t xml:space="preserve">Every dismiss (false positive) and accept (true positive) is stored as a labeled training example. Once 20+ labels accumulate, sklearn LogisticRegression retrains the confidence calibration model. The system gets demonstrably smarter — shown live in the demo.</w:t>
            </w:r>
          </w:p>
        </w:tc>
      </w:tr>
    </w:tbl>
    <w:p>
      <w:pPr>
        <w:spacing w:after="80" w:before="0"/>
      </w:pPr>
      <w:r>
        <w:rPr>
          <w:rFonts w:ascii="Arial" w:cs="Arial" w:eastAsia="Arial" w:hAnsi="Arial"/>
          <w:sz w:val="22"/>
          <w:szCs w:val="22"/>
        </w:rPr>
        <w:t xml:space="preserve"/>
      </w:r>
    </w:p>
    <w:p>
      <w:pPr>
        <w:pStyle w:val="Heading1"/>
        <w:spacing w:after="160" w:before="400"/>
      </w:pPr>
      <w:r>
        <w:rPr>
          <w:rFonts w:ascii="Arial" w:cs="Arial" w:eastAsia="Arial" w:hAnsi="Arial"/>
          <w:b/>
          <w:bCs/>
          <w:color w:val="1B2A4A"/>
          <w:sz w:val="32"/>
          <w:szCs w:val="32"/>
        </w:rPr>
        <w:t xml:space="preserve">4. Raspberry Pi 5 Edge Node — On-Premise Intelligence</w:t>
      </w:r>
    </w:p>
    <w:p>
      <w:pPr>
        <w:spacing w:after="80" w:before="60"/>
      </w:pPr>
      <w:r>
        <w:rPr>
          <w:rFonts w:ascii="Arial" w:cs="Arial" w:eastAsia="Arial" w:hAnsi="Arial"/>
          <w:color w:val="333333"/>
          <w:sz w:val="22"/>
          <w:szCs w:val="22"/>
        </w:rPr>
        <w:t xml:space="preserve">ClauseGuard's most distinctive technical innovation is its deployment architecture. The entire AI inference pipeline runs locally on a Raspberry Pi 5 edge node. No document data ever leaves the organization's network. This is not a cost-saving measure — it is a fundamental data sovereignty design decision that makes ClauseGuard viable for legal firms, healthcare organizations, government entities, and any regulated industry where sending confidential contracts to the cloud is not an option.</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ED" w:val="clear"/>
            <w:tcMar>
              <w:top w:type="dxa" w:w="160"/>
              <w:left w:type="dxa" w:w="200"/>
              <w:bottom w:type="dxa" w:w="160"/>
              <w:right w:type="dxa" w:w="200"/>
            </w:tcMar>
          </w:tcPr>
          <w:p>
            <w:pPr>
              <w:spacing w:after="40" w:before="60"/>
            </w:pPr>
            <w:r>
              <w:rPr>
                <w:rFonts w:ascii="Arial" w:cs="Arial" w:eastAsia="Arial" w:hAnsi="Arial"/>
                <w:b/>
                <w:bCs/>
                <w:color w:val="1A7A6E"/>
                <w:sz w:val="22"/>
                <w:szCs w:val="22"/>
              </w:rPr>
              <w:t xml:space="preserve">Data Sovereignty Guarantee</w:t>
            </w:r>
          </w:p>
          <w:p>
            <w:pPr>
              <w:spacing w:after="60" w:before="0"/>
            </w:pPr>
            <w:r>
              <w:rPr>
                <w:rFonts w:ascii="Arial" w:cs="Arial" w:eastAsia="Arial" w:hAnsi="Arial"/>
                <w:b w:val="false"/>
                <w:bCs w:val="false"/>
                <w:color w:val="333333"/>
                <w:sz w:val="22"/>
                <w:szCs w:val="22"/>
              </w:rPr>
              <w:t xml:space="preserve">All inference runs locally on the RPi5 node. Zero data egress. Compliant with GDPR, HIPAA, and SOC 2 on-premise requirements. No API keys. No subscription. No vendor lock-in.</w:t>
            </w:r>
          </w:p>
        </w:tc>
      </w:tr>
    </w:tbl>
    <w:p>
      <w:pPr>
        <w:spacing w:after="80" w:before="0"/>
      </w:pPr>
      <w:r>
        <w:rPr>
          <w:rFonts w:ascii="Arial" w:cs="Arial" w:eastAsia="Arial" w:hAnsi="Arial"/>
          <w:sz w:val="22"/>
          <w:szCs w:val="22"/>
        </w:rPr>
        <w:t xml:space="preserve"/>
      </w:r>
    </w:p>
    <w:p>
      <w:pPr>
        <w:pStyle w:val="Heading2"/>
        <w:pBdr>
          <w:bottom w:val="single" w:color="2E6FD4" w:sz="4" w:space="4"/>
        </w:pBdr>
        <w:spacing w:after="120" w:before="320"/>
      </w:pPr>
      <w:r>
        <w:rPr>
          <w:rFonts w:ascii="Arial" w:cs="Arial" w:eastAsia="Arial" w:hAnsi="Arial"/>
          <w:b/>
          <w:bCs/>
          <w:color w:val="2E6FD4"/>
          <w:sz w:val="26"/>
          <w:szCs w:val="26"/>
        </w:rPr>
        <w:t xml:space="preserve">Hardware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Specification &amp; Role</w:t>
            </w:r>
          </w:p>
        </w:tc>
      </w:tr>
      <w:tr>
        <w:tc>
          <w:tcPr>
            <w:tcW w:type="dxa" w:w="300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b/>
                <w:bCs/>
                <w:color w:val="333333"/>
                <w:sz w:val="20"/>
                <w:szCs w:val="20"/>
              </w:rPr>
              <w:t xml:space="preserve">Device</w:t>
            </w:r>
          </w:p>
        </w:tc>
        <w:tc>
          <w:tcPr>
            <w:tcW w:type="dxa" w:w="636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color w:val="333333"/>
                <w:sz w:val="20"/>
                <w:szCs w:val="20"/>
              </w:rPr>
              <w:t xml:space="preserve">Raspberry Pi 5 (BCM2712 quad-core Cortex-A76 @ 2.4GHz, 8GB LPDDR4X 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Primary LLM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LLaMA 3 Edge 8B — Q4_K_M quantized via llama.cpp, 4.6GB in RAM, 12ms average inference latency, 28.4 TPS</w:t>
            </w:r>
          </w:p>
        </w:tc>
      </w:tr>
      <w:tr>
        <w:tc>
          <w:tcPr>
            <w:tcW w:type="dxa" w:w="300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b/>
                <w:bCs/>
                <w:color w:val="333333"/>
                <w:sz w:val="20"/>
                <w:szCs w:val="20"/>
              </w:rPr>
              <w:t xml:space="preserve">Embedding Model</w:t>
            </w:r>
          </w:p>
        </w:tc>
        <w:tc>
          <w:tcPr>
            <w:tcW w:type="dxa" w:w="636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color w:val="333333"/>
                <w:sz w:val="20"/>
                <w:szCs w:val="20"/>
              </w:rPr>
              <w:t xml:space="preserve">BERT-Legal-Base — fine-tuned on legal corpus, 420MB, 320 clauses/minute throughput, runs via ARM-NEON optimization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Standby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Mistral 7B Q5_0 — loaded on demand for complex multi-document analysis tasks</w:t>
            </w:r>
          </w:p>
        </w:tc>
      </w:tr>
      <w:tr>
        <w:tc>
          <w:tcPr>
            <w:tcW w:type="dxa" w:w="300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b/>
                <w:bCs/>
                <w:color w:val="333333"/>
                <w:sz w:val="20"/>
                <w:szCs w:val="20"/>
              </w:rPr>
              <w:t xml:space="preserve">Storage</w:t>
            </w:r>
          </w:p>
        </w:tc>
        <w:tc>
          <w:tcPr>
            <w:tcW w:type="dxa" w:w="636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color w:val="333333"/>
                <w:sz w:val="20"/>
                <w:szCs w:val="20"/>
              </w:rPr>
              <w:t xml:space="preserve">NVMe SSD (512GB) via PCIe 2.0 adapter — stores vector DB, document archive, audit log, model weights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Connectivity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Ethernet PoE+ (1.0 Gbps), ingress tunnel via Tailscale for secure remote access</w:t>
            </w:r>
          </w:p>
        </w:tc>
      </w:tr>
      <w:tr>
        <w:tc>
          <w:tcPr>
            <w:tcW w:type="dxa" w:w="300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b/>
                <w:bCs/>
                <w:color w:val="333333"/>
                <w:sz w:val="20"/>
                <w:szCs w:val="20"/>
              </w:rPr>
              <w:t xml:space="preserve">Inference API</w:t>
            </w:r>
          </w:p>
        </w:tc>
        <w:tc>
          <w:tcPr>
            <w:tcW w:type="dxa" w:w="636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color w:val="333333"/>
                <w:sz w:val="20"/>
                <w:szCs w:val="20"/>
              </w:rPr>
              <w:t xml:space="preserve">REST + gRPC server on port 8080 — receives clause pairs, returns structured JSON reasoning chain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5.1V / 4.9A PoE supply — single cable for power and network</w:t>
            </w:r>
          </w:p>
        </w:tc>
      </w:tr>
      <w:tr>
        <w:tc>
          <w:tcPr>
            <w:tcW w:type="dxa" w:w="300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b/>
                <w:bCs/>
                <w:color w:val="333333"/>
                <w:sz w:val="20"/>
                <w:szCs w:val="20"/>
              </w:rPr>
              <w:t xml:space="preserve">Thermal</w:t>
            </w:r>
          </w:p>
        </w:tc>
        <w:tc>
          <w:tcPr>
            <w:tcW w:type="dxa" w:w="6360"/>
            <w:tcBorders>
              <w:top w:val="single" w:color="CCCCCC" w:sz="1"/>
              <w:left w:val="single" w:color="CCCCCC" w:sz="1"/>
              <w:bottom w:val="single" w:color="CCCCCC" w:sz="1"/>
              <w:right w:val="single" w:color="CCCCCC" w:sz="1"/>
            </w:tcBorders>
            <w:shd w:fill="D4EFED" w:val="clear"/>
            <w:tcMar>
              <w:top w:type="dxa" w:w="80"/>
              <w:left w:type="dxa" w:w="120"/>
              <w:bottom w:type="dxa" w:w="80"/>
              <w:right w:type="dxa" w:w="120"/>
            </w:tcMar>
          </w:tcPr>
          <w:p>
            <w:r>
              <w:rPr>
                <w:rFonts w:ascii="Arial" w:cs="Arial" w:eastAsia="Arial" w:hAnsi="Arial"/>
                <w:color w:val="333333"/>
                <w:sz w:val="20"/>
                <w:szCs w:val="20"/>
              </w:rPr>
              <w:t xml:space="preserve">43°C stable under full load, fan at 1,200 RPM, no throttling</w:t>
            </w:r>
          </w:p>
        </w:tc>
      </w:tr>
    </w:tbl>
    <w:p>
      <w:pPr>
        <w:spacing w:after="80" w:before="0"/>
      </w:pPr>
      <w:r>
        <w:rPr>
          <w:rFonts w:ascii="Arial" w:cs="Arial" w:eastAsia="Arial" w:hAnsi="Arial"/>
          <w:sz w:val="22"/>
          <w:szCs w:val="22"/>
        </w:rPr>
        <w:t xml:space="preserve"/>
      </w:r>
    </w:p>
    <w:p>
      <w:pPr>
        <w:pStyle w:val="Heading2"/>
        <w:pBdr>
          <w:bottom w:val="single" w:color="2E6FD4" w:sz="4" w:space="4"/>
        </w:pBdr>
        <w:spacing w:after="120" w:before="320"/>
      </w:pPr>
      <w:r>
        <w:rPr>
          <w:rFonts w:ascii="Arial" w:cs="Arial" w:eastAsia="Arial" w:hAnsi="Arial"/>
          <w:b/>
          <w:bCs/>
          <w:color w:val="2E6FD4"/>
          <w:sz w:val="26"/>
          <w:szCs w:val="26"/>
        </w:rPr>
        <w:t xml:space="preserve">Why This Matters for Judges</w:t>
      </w:r>
    </w:p>
    <w:p>
      <w:pPr>
        <w:spacing w:after="80" w:before="60"/>
      </w:pPr>
      <w:r>
        <w:rPr>
          <w:rFonts w:ascii="Arial" w:cs="Arial" w:eastAsia="Arial" w:hAnsi="Arial"/>
          <w:color w:val="333333"/>
          <w:sz w:val="22"/>
          <w:szCs w:val="22"/>
        </w:rPr>
        <w:t xml:space="preserve">Every other team in Track 02 will demo a web app that calls OpenAI or Anthropic APIs. ClauseGuard demonstrates that human-AI collaboration can be deployed in fully air-gapped environments — a critical requirement for the legal, healthcare, defense, and government sectors that need this technology most. The Raspberry Pi 5 running LLaMA 3 at 28.4 TPS with 12ms latency is a live proof of concept that confidential document intelligence does not require cloud access.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DECEA" w:val="clear"/>
            <w:tcMar>
              <w:top w:type="dxa" w:w="140"/>
              <w:left w:type="dxa" w:w="180"/>
              <w:bottom w:type="dxa" w:w="140"/>
              <w:right w:type="dxa" w:w="100"/>
            </w:tcMar>
          </w:tcPr>
          <w:p>
            <w:pPr>
              <w:spacing w:after="60" w:before="60"/>
            </w:pPr>
            <w:r>
              <w:rPr>
                <w:rFonts w:ascii="Arial" w:cs="Arial" w:eastAsia="Arial" w:hAnsi="Arial"/>
                <w:b/>
                <w:bCs/>
                <w:color w:val="C94F2C"/>
                <w:sz w:val="22"/>
                <w:szCs w:val="22"/>
              </w:rPr>
              <w:t xml:space="preserve">Cloud-based competitors</w:t>
            </w:r>
          </w:p>
          <w:p>
            <w:pPr>
              <w:pStyle w:val="ListParagraph"/>
              <w:numPr>
                <w:ilvl w:val="0"/>
                <w:numId w:val="2"/>
              </w:numPr>
              <w:spacing w:after="60" w:before="40"/>
            </w:pPr>
            <w:r>
              <w:rPr>
                <w:rFonts w:ascii="Arial" w:cs="Arial" w:eastAsia="Arial" w:hAnsi="Arial"/>
                <w:color w:val="333333"/>
                <w:sz w:val="22"/>
                <w:szCs w:val="22"/>
              </w:rPr>
              <w:t xml:space="preserve">Data leaves your network on every query</w:t>
            </w:r>
          </w:p>
          <w:p>
            <w:pPr>
              <w:pStyle w:val="ListParagraph"/>
              <w:numPr>
                <w:ilvl w:val="0"/>
                <w:numId w:val="2"/>
              </w:numPr>
              <w:spacing w:after="60" w:before="40"/>
            </w:pPr>
            <w:r>
              <w:rPr>
                <w:rFonts w:ascii="Arial" w:cs="Arial" w:eastAsia="Arial" w:hAnsi="Arial"/>
                <w:color w:val="333333"/>
                <w:sz w:val="22"/>
                <w:szCs w:val="22"/>
              </w:rPr>
              <w:t xml:space="preserve">Per-token billing — costs scale with usage</w:t>
            </w:r>
          </w:p>
          <w:p>
            <w:pPr>
              <w:pStyle w:val="ListParagraph"/>
              <w:numPr>
                <w:ilvl w:val="0"/>
                <w:numId w:val="2"/>
              </w:numPr>
              <w:spacing w:after="60" w:before="40"/>
            </w:pPr>
            <w:r>
              <w:rPr>
                <w:rFonts w:ascii="Arial" w:cs="Arial" w:eastAsia="Arial" w:hAnsi="Arial"/>
                <w:color w:val="333333"/>
                <w:sz w:val="22"/>
                <w:szCs w:val="22"/>
              </w:rPr>
              <w:t xml:space="preserve">Vendor dependency and lock-in</w:t>
            </w:r>
          </w:p>
          <w:p>
            <w:pPr>
              <w:pStyle w:val="ListParagraph"/>
              <w:numPr>
                <w:ilvl w:val="0"/>
                <w:numId w:val="2"/>
              </w:numPr>
              <w:spacing w:after="60" w:before="40"/>
            </w:pPr>
            <w:r>
              <w:rPr>
                <w:rFonts w:ascii="Arial" w:cs="Arial" w:eastAsia="Arial" w:hAnsi="Arial"/>
                <w:color w:val="333333"/>
                <w:sz w:val="22"/>
                <w:szCs w:val="22"/>
              </w:rPr>
              <w:t xml:space="preserve">Cannot operate in GDPR-restricted environments</w:t>
            </w:r>
          </w:p>
          <w:p>
            <w:pPr>
              <w:pStyle w:val="ListParagraph"/>
              <w:numPr>
                <w:ilvl w:val="0"/>
                <w:numId w:val="2"/>
              </w:numPr>
              <w:spacing w:after="60" w:before="40"/>
            </w:pPr>
            <w:r>
              <w:rPr>
                <w:rFonts w:ascii="Arial" w:cs="Arial" w:eastAsia="Arial" w:hAnsi="Arial"/>
                <w:color w:val="333333"/>
                <w:sz w:val="22"/>
                <w:szCs w:val="22"/>
              </w:rPr>
              <w:t xml:space="preserve">Latency dependent on internet connection</w:t>
            </w:r>
          </w:p>
        </w:tc>
        <w:tc>
          <w:tcPr>
            <w:tcW w:type="dxa" w:w="4680"/>
            <w:tcBorders>
              <w:top w:val="none" w:color="FFFFFF" w:sz="0"/>
              <w:left w:val="none" w:color="FFFFFF" w:sz="0"/>
              <w:bottom w:val="none" w:color="FFFFFF" w:sz="0"/>
              <w:right w:val="none" w:color="FFFFFF" w:sz="0"/>
            </w:tcBorders>
            <w:shd w:fill="DCF0E4" w:val="clear"/>
            <w:tcMar>
              <w:top w:type="dxa" w:w="140"/>
              <w:left w:type="dxa" w:w="100"/>
              <w:bottom w:type="dxa" w:w="140"/>
              <w:right w:type="dxa" w:w="180"/>
            </w:tcMar>
          </w:tcPr>
          <w:p>
            <w:pPr>
              <w:spacing w:after="60" w:before="60"/>
            </w:pPr>
            <w:r>
              <w:rPr>
                <w:rFonts w:ascii="Arial" w:cs="Arial" w:eastAsia="Arial" w:hAnsi="Arial"/>
                <w:b/>
                <w:bCs/>
                <w:color w:val="2A6E3F"/>
                <w:sz w:val="22"/>
                <w:szCs w:val="22"/>
              </w:rPr>
              <w:t xml:space="preserve">ClauseGuard Edge Node</w:t>
            </w:r>
          </w:p>
          <w:p>
            <w:pPr>
              <w:pStyle w:val="ListParagraph"/>
              <w:numPr>
                <w:ilvl w:val="0"/>
                <w:numId w:val="2"/>
              </w:numPr>
              <w:spacing w:after="60" w:before="40"/>
            </w:pPr>
            <w:r>
              <w:rPr>
                <w:rFonts w:ascii="Arial" w:cs="Arial" w:eastAsia="Arial" w:hAnsi="Arial"/>
                <w:color w:val="333333"/>
                <w:sz w:val="22"/>
                <w:szCs w:val="22"/>
              </w:rPr>
              <w:t xml:space="preserve">Zero data egress — air-gapped by default</w:t>
            </w:r>
          </w:p>
          <w:p>
            <w:pPr>
              <w:pStyle w:val="ListParagraph"/>
              <w:numPr>
                <w:ilvl w:val="0"/>
                <w:numId w:val="2"/>
              </w:numPr>
              <w:spacing w:after="60" w:before="40"/>
            </w:pPr>
            <w:r>
              <w:rPr>
                <w:rFonts w:ascii="Arial" w:cs="Arial" w:eastAsia="Arial" w:hAnsi="Arial"/>
                <w:color w:val="333333"/>
                <w:sz w:val="22"/>
                <w:szCs w:val="22"/>
              </w:rPr>
              <w:t xml:space="preserve">One-time hardware cost, zero per-query cost</w:t>
            </w:r>
          </w:p>
          <w:p>
            <w:pPr>
              <w:pStyle w:val="ListParagraph"/>
              <w:numPr>
                <w:ilvl w:val="0"/>
                <w:numId w:val="2"/>
              </w:numPr>
              <w:spacing w:after="60" w:before="40"/>
            </w:pPr>
            <w:r>
              <w:rPr>
                <w:rFonts w:ascii="Arial" w:cs="Arial" w:eastAsia="Arial" w:hAnsi="Arial"/>
                <w:color w:val="333333"/>
                <w:sz w:val="22"/>
                <w:szCs w:val="22"/>
              </w:rPr>
              <w:t xml:space="preserve">Fully open source, no vendor lock-in</w:t>
            </w:r>
          </w:p>
          <w:p>
            <w:pPr>
              <w:pStyle w:val="ListParagraph"/>
              <w:numPr>
                <w:ilvl w:val="0"/>
                <w:numId w:val="2"/>
              </w:numPr>
              <w:spacing w:after="60" w:before="40"/>
            </w:pPr>
            <w:r>
              <w:rPr>
                <w:rFonts w:ascii="Arial" w:cs="Arial" w:eastAsia="Arial" w:hAnsi="Arial"/>
                <w:color w:val="333333"/>
                <w:sz w:val="22"/>
                <w:szCs w:val="22"/>
              </w:rPr>
              <w:t xml:space="preserve">GDPR / HIPAA / SOC 2 compliant by architecture</w:t>
            </w:r>
          </w:p>
          <w:p>
            <w:pPr>
              <w:pStyle w:val="ListParagraph"/>
              <w:numPr>
                <w:ilvl w:val="0"/>
                <w:numId w:val="2"/>
              </w:numPr>
              <w:spacing w:after="60" w:before="40"/>
            </w:pPr>
            <w:r>
              <w:rPr>
                <w:rFonts w:ascii="Arial" w:cs="Arial" w:eastAsia="Arial" w:hAnsi="Arial"/>
                <w:color w:val="333333"/>
                <w:sz w:val="22"/>
                <w:szCs w:val="22"/>
              </w:rPr>
              <w:t xml:space="preserve">12ms inference latency on local network</w:t>
            </w:r>
          </w:p>
        </w:tc>
      </w:tr>
    </w:tbl>
    <w:p>
      <w:pPr>
        <w:spacing w:after="80" w:before="0"/>
      </w:pPr>
      <w:r>
        <w:rPr>
          <w:rFonts w:ascii="Arial" w:cs="Arial" w:eastAsia="Arial" w:hAnsi="Arial"/>
          <w:sz w:val="22"/>
          <w:szCs w:val="22"/>
        </w:rPr>
        <w:t xml:space="preserve"/>
      </w:r>
    </w:p>
    <w:p>
      <w:pPr>
        <w:pStyle w:val="Heading1"/>
        <w:spacing w:after="160" w:before="400"/>
      </w:pPr>
      <w:r>
        <w:rPr>
          <w:rFonts w:ascii="Arial" w:cs="Arial" w:eastAsia="Arial" w:hAnsi="Arial"/>
          <w:b/>
          <w:bCs/>
          <w:color w:val="1B2A4A"/>
          <w:sz w:val="32"/>
          <w:szCs w:val="32"/>
        </w:rPr>
        <w:t xml:space="preserve">5. Open Source Technology Stack</w:t>
      </w:r>
    </w:p>
    <w:p>
      <w:pPr>
        <w:spacing w:after="80" w:before="60"/>
      </w:pPr>
      <w:r>
        <w:rPr>
          <w:rFonts w:ascii="Arial" w:cs="Arial" w:eastAsia="Arial" w:hAnsi="Arial"/>
          <w:color w:val="333333"/>
          <w:sz w:val="22"/>
          <w:szCs w:val="22"/>
        </w:rPr>
        <w:t xml:space="preserve">Every component is open source, MIT or Apache 2.0 licensed. Zero paid APIs. Runs entirely on the hackathon laptop and the Raspberry Pi 5 edge node.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Tool / Library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Runtime (Edge)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Ollama + LLaMA 3.1 8B (Q4_K_M) on RPi5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 / Meta Community</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LLM Runtime (Dev)</w:t>
            </w:r>
          </w:p>
        </w:tc>
        <w:tc>
          <w:tcPr>
            <w:tcW w:type="dxa" w:w="3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Ollama local on laptop for development</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Orchestration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LangChain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Embeddings</w:t>
            </w:r>
          </w:p>
        </w:tc>
        <w:tc>
          <w:tcPr>
            <w:tcW w:type="dxa" w:w="3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BERT-Legal-Base + all-MiniLM-L6-v2</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Vector Store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ChromaDB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Knowledge Graph</w:t>
            </w:r>
          </w:p>
        </w:tc>
        <w:tc>
          <w:tcPr>
            <w:tcW w:type="dxa" w:w="3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NetworkX</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BSD 3-Clause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 Visualization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Flow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NLP / Chunking</w:t>
            </w:r>
          </w:p>
        </w:tc>
        <w:tc>
          <w:tcPr>
            <w:tcW w:type="dxa" w:w="3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spaCy</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 / Calibration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scikit-learn (LogisticRegression)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BSD 3-Clause</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Explainability</w:t>
            </w:r>
          </w:p>
        </w:tc>
        <w:tc>
          <w:tcPr>
            <w:tcW w:type="dxa" w:w="3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SHAP</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 Parsing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PyMuPDF (fitz)</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AGPL</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DOCX Parsing</w:t>
            </w:r>
          </w:p>
        </w:tc>
        <w:tc>
          <w:tcPr>
            <w:tcW w:type="dxa" w:w="3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python-docx</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Inference Server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llama.cpp REST + gRPC on RPi5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3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FastAPI + SQLAlchemy + SQLite</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Async Queue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Celery + Redis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BSD / BSD</w:t>
            </w:r>
          </w:p>
        </w:tc>
      </w:tr>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4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React + Vite + Tailwind CSS + shadcn/ui</w:t>
            </w:r>
          </w:p>
        </w:tc>
        <w:tc>
          <w:tcPr>
            <w:tcW w:type="dxa" w:w="37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color w:val="333333"/>
                <w:sz w:val="20"/>
                <w:szCs w:val="20"/>
              </w:rPr>
              <w:t xml:space="preserve">MIT</w:t>
            </w:r>
          </w:p>
        </w:tc>
      </w:tr>
    </w:tbl>
    <w:p>
      <w:pPr>
        <w:spacing w:after="80" w:before="0"/>
      </w:pPr>
      <w:r>
        <w:rPr>
          <w:rFonts w:ascii="Arial" w:cs="Arial" w:eastAsia="Arial" w:hAnsi="Arial"/>
          <w:sz w:val="22"/>
          <w:szCs w:val="22"/>
        </w:rPr>
        <w:t xml:space="preserve"/>
      </w:r>
    </w:p>
    <w:p>
      <w:pPr>
        <w:pStyle w:val="Heading1"/>
        <w:spacing w:after="160" w:before="400"/>
      </w:pPr>
      <w:r>
        <w:rPr>
          <w:rFonts w:ascii="Arial" w:cs="Arial" w:eastAsia="Arial" w:hAnsi="Arial"/>
          <w:b/>
          <w:bCs/>
          <w:color w:val="1B2A4A"/>
          <w:sz w:val="32"/>
          <w:szCs w:val="32"/>
        </w:rPr>
        <w:t xml:space="preserve">6. Innovation &amp; Technical Depth</w:t>
      </w:r>
    </w:p>
    <w:p>
      <w:pPr>
        <w:spacing w:after="80" w:before="60"/>
      </w:pPr>
      <w:r>
        <w:rPr>
          <w:rFonts w:ascii="Arial" w:cs="Arial" w:eastAsia="Arial" w:hAnsi="Arial"/>
          <w:color w:val="333333"/>
          <w:sz w:val="22"/>
          <w:szCs w:val="22"/>
        </w:rPr>
        <w:t xml:space="preserve">The combination of semantic chunking with obligation-type tagging, two-tower retrieval, chain-of-thought contradiction reasoning, a contradiction knowledge graph with resolution impact analysis, active learning from human feedback, and fully offline Raspberry Pi 5 edge deployment does not exist as an open source tool today.</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5F7" w:val="clear"/>
            <w:tcMar>
              <w:top w:type="dxa" w:w="160"/>
              <w:left w:type="dxa" w:w="200"/>
              <w:bottom w:type="dxa" w:w="160"/>
              <w:right w:type="dxa" w:w="200"/>
            </w:tcMar>
          </w:tcPr>
          <w:p>
            <w:pPr>
              <w:spacing w:after="40" w:before="60"/>
            </w:pPr>
            <w:r>
              <w:rPr>
                <w:rFonts w:ascii="Arial" w:cs="Arial" w:eastAsia="Arial" w:hAnsi="Arial"/>
                <w:b/>
                <w:bCs/>
                <w:color w:val="2E6FD4"/>
                <w:sz w:val="22"/>
                <w:szCs w:val="22"/>
              </w:rPr>
              <w:t xml:space="preserve">1. Clause-Level Knowledge Graph with Typed Edges</w:t>
            </w:r>
          </w:p>
          <w:p>
            <w:pPr>
              <w:spacing w:after="60" w:before="0"/>
            </w:pPr>
            <w:r>
              <w:rPr>
                <w:rFonts w:ascii="Arial" w:cs="Arial" w:eastAsia="Arial" w:hAnsi="Arial"/>
                <w:color w:val="333333"/>
                <w:sz w:val="22"/>
                <w:szCs w:val="22"/>
              </w:rPr>
              <w:t xml:space="preserve">Not a list, not a table — a queryable graph structure that enables transitive conflict detection and resolution impact analysis. This is a data architecture decision that demonstrates systems thinking.</w:t>
            </w:r>
          </w:p>
          <w:p>
            <w:pPr>
              <w:spacing w:after="40" w:before="80"/>
            </w:pPr>
            <w:r>
              <w:rPr>
                <w:rFonts w:ascii="Arial" w:cs="Arial" w:eastAsia="Arial" w:hAnsi="Arial"/>
                <w:b/>
                <w:bCs/>
                <w:color w:val="2E6FD4"/>
                <w:sz w:val="22"/>
                <w:szCs w:val="22"/>
              </w:rPr>
              <w:t xml:space="preserve">2. Two-Tower Retrieval for Document Comparison</w:t>
            </w:r>
          </w:p>
          <w:p>
            <w:pPr>
              <w:spacing w:after="60" w:before="0"/>
            </w:pPr>
            <w:r>
              <w:rPr>
                <w:rFonts w:ascii="Arial" w:cs="Arial" w:eastAsia="Arial" w:hAnsi="Arial"/>
                <w:color w:val="333333"/>
                <w:sz w:val="22"/>
                <w:szCs w:val="22"/>
              </w:rPr>
              <w:t xml:space="preserve">Demonstrates knowledge of why naive all-pairs comparison fails at scale and how production information retrieval systems are actually built — semantic similarity combined with structural obligation-type filtering.</w:t>
            </w:r>
          </w:p>
          <w:p>
            <w:pPr>
              <w:spacing w:after="40" w:before="80"/>
            </w:pPr>
            <w:r>
              <w:rPr>
                <w:rFonts w:ascii="Arial" w:cs="Arial" w:eastAsia="Arial" w:hAnsi="Arial"/>
                <w:b/>
                <w:bCs/>
                <w:color w:val="2E6FD4"/>
                <w:sz w:val="22"/>
                <w:szCs w:val="22"/>
              </w:rPr>
              <w:t xml:space="preserve">3. Structured Three-Step Chain-of-Thought Pipeline</w:t>
            </w:r>
          </w:p>
          <w:p>
            <w:pPr>
              <w:spacing w:after="60" w:before="0"/>
            </w:pPr>
            <w:r>
              <w:rPr>
                <w:rFonts w:ascii="Arial" w:cs="Arial" w:eastAsia="Arial" w:hAnsi="Arial"/>
                <w:color w:val="333333"/>
                <w:sz w:val="22"/>
                <w:szCs w:val="22"/>
              </w:rPr>
              <w:t xml:space="preserve">Shows understanding of why single-prompt LLM calls produce inconsistent outputs and how to structure multi-step reasoning pipelines for reliable, parseable structured outputs.</w:t>
            </w:r>
          </w:p>
          <w:p>
            <w:pPr>
              <w:spacing w:after="40" w:before="80"/>
            </w:pPr>
            <w:r>
              <w:rPr>
                <w:rFonts w:ascii="Arial" w:cs="Arial" w:eastAsia="Arial" w:hAnsi="Arial"/>
                <w:b/>
                <w:bCs/>
                <w:color w:val="2E6FD4"/>
                <w:sz w:val="22"/>
                <w:szCs w:val="22"/>
              </w:rPr>
              <w:t xml:space="preserve">4. Calibrated Confidence Scoring with Active Learning</w:t>
            </w:r>
          </w:p>
          <w:p>
            <w:pPr>
              <w:spacing w:after="60" w:before="0"/>
            </w:pPr>
            <w:r>
              <w:rPr>
                <w:rFonts w:ascii="Arial" w:cs="Arial" w:eastAsia="Arial" w:hAnsi="Arial"/>
                <w:color w:val="333333"/>
                <w:sz w:val="22"/>
                <w:szCs w:val="22"/>
              </w:rPr>
              <w:t xml:space="preserve">Combining embedding distance, LLM self-confidence, and historical labels into a calibrated score via logistic regression — an ML component layered on the LLM that almost no hackathon team implements.</w:t>
            </w:r>
          </w:p>
          <w:p>
            <w:pPr>
              <w:spacing w:after="40" w:before="80"/>
            </w:pPr>
            <w:r>
              <w:rPr>
                <w:rFonts w:ascii="Arial" w:cs="Arial" w:eastAsia="Arial" w:hAnsi="Arial"/>
                <w:b/>
                <w:bCs/>
                <w:color w:val="2E6FD4"/>
                <w:sz w:val="22"/>
                <w:szCs w:val="22"/>
              </w:rPr>
              <w:t xml:space="preserve">5. Resolution Impact Analysis (Genuinely Novel)</w:t>
            </w:r>
          </w:p>
          <w:p>
            <w:pPr>
              <w:spacing w:after="60" w:before="0"/>
            </w:pPr>
            <w:r>
              <w:rPr>
                <w:rFonts w:ascii="Arial" w:cs="Arial" w:eastAsia="Arial" w:hAnsi="Arial"/>
                <w:color w:val="333333"/>
                <w:sz w:val="22"/>
                <w:szCs w:val="22"/>
              </w:rPr>
              <w:t xml:space="preserve">The ability to say 'if you fix this contradiction by changing clause 7.2, it will create a new conflict with clause 14.1' is something no existing open-source tool provides.</w:t>
            </w:r>
          </w:p>
          <w:p>
            <w:pPr>
              <w:spacing w:after="40" w:before="80"/>
            </w:pPr>
            <w:r>
              <w:rPr>
                <w:rFonts w:ascii="Arial" w:cs="Arial" w:eastAsia="Arial" w:hAnsi="Arial"/>
                <w:b/>
                <w:bCs/>
                <w:color w:val="C94F2C"/>
                <w:sz w:val="22"/>
                <w:szCs w:val="22"/>
              </w:rPr>
              <w:t xml:space="preserve">6. Air-Gapped Edge Deployment on Raspberry Pi 5</w:t>
            </w:r>
          </w:p>
          <w:p>
            <w:pPr>
              <w:spacing w:after="60" w:before="0"/>
            </w:pPr>
            <w:r>
              <w:rPr>
                <w:rFonts w:ascii="Arial" w:cs="Arial" w:eastAsia="Arial" w:hAnsi="Arial"/>
                <w:color w:val="333333"/>
                <w:sz w:val="22"/>
                <w:szCs w:val="22"/>
              </w:rPr>
              <w:t xml:space="preserve">28.4 TPS at 12ms latency with zero cloud dependency, running LLaMA 3 and BERT-Legal-Base simultaneously. Addresses the data sovereignty requirement that blocks most legal AI adoption in regulated industries.</w:t>
            </w:r>
          </w:p>
        </w:tc>
      </w:tr>
    </w:tbl>
    <w:p>
      <w:pPr>
        <w:spacing w:after="80" w:before="0"/>
      </w:pPr>
      <w:r>
        <w:rPr>
          <w:rFonts w:ascii="Arial" w:cs="Arial" w:eastAsia="Arial" w:hAnsi="Arial"/>
          <w:sz w:val="22"/>
          <w:szCs w:val="22"/>
        </w:rPr>
        <w:t xml:space="preserve"/>
      </w:r>
    </w:p>
    <w:p>
      <w:pPr>
        <w:pStyle w:val="Heading1"/>
        <w:spacing w:after="160" w:before="400"/>
      </w:pPr>
      <w:r>
        <w:rPr>
          <w:rFonts w:ascii="Arial" w:cs="Arial" w:eastAsia="Arial" w:hAnsi="Arial"/>
          <w:b/>
          <w:bCs/>
          <w:color w:val="1B2A4A"/>
          <w:sz w:val="32"/>
          <w:szCs w:val="32"/>
        </w:rPr>
        <w:t xml:space="preserve">7. Team Techtonics — 24-Hour Build Plan</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8F7" w:val="clear"/>
            <w:tcMar>
              <w:top w:type="dxa" w:w="140"/>
              <w:left w:type="dxa" w:w="180"/>
              <w:bottom w:type="dxa" w:w="140"/>
              <w:right w:type="dxa" w:w="100"/>
            </w:tcMar>
          </w:tcPr>
          <w:p>
            <w:pPr>
              <w:spacing w:after="60" w:before="60"/>
            </w:pPr>
            <w:r>
              <w:rPr>
                <w:rFonts w:ascii="Arial" w:cs="Arial" w:eastAsia="Arial" w:hAnsi="Arial"/>
                <w:b/>
                <w:bCs/>
                <w:color w:val="1B2A4A"/>
                <w:sz w:val="22"/>
                <w:szCs w:val="22"/>
              </w:rPr>
              <w:t xml:space="preserve">Member 1 — AI Pipeline</w:t>
            </w:r>
          </w:p>
          <w:p>
            <w:pPr>
              <w:pStyle w:val="ListParagraph"/>
              <w:numPr>
                <w:ilvl w:val="0"/>
                <w:numId w:val="2"/>
              </w:numPr>
              <w:spacing w:after="60" w:before="40"/>
            </w:pPr>
            <w:r>
              <w:rPr>
                <w:rFonts w:ascii="Arial" w:cs="Arial" w:eastAsia="Arial" w:hAnsi="Arial"/>
                <w:color w:val="333333"/>
                <w:sz w:val="22"/>
                <w:szCs w:val="22"/>
              </w:rPr>
              <w:t xml:space="preserve">Intelligent chunking with spaCy + obligation tagging</w:t>
            </w:r>
          </w:p>
          <w:p>
            <w:pPr>
              <w:pStyle w:val="ListParagraph"/>
              <w:numPr>
                <w:ilvl w:val="0"/>
                <w:numId w:val="2"/>
              </w:numPr>
              <w:spacing w:after="60" w:before="40"/>
            </w:pPr>
            <w:r>
              <w:rPr>
                <w:rFonts w:ascii="Arial" w:cs="Arial" w:eastAsia="Arial" w:hAnsi="Arial"/>
                <w:color w:val="333333"/>
                <w:sz w:val="22"/>
                <w:szCs w:val="22"/>
              </w:rPr>
              <w:t xml:space="preserve">Sentence-transformer embeddings + ChromaDB ingestion</w:t>
            </w:r>
          </w:p>
          <w:p>
            <w:pPr>
              <w:pStyle w:val="ListParagraph"/>
              <w:numPr>
                <w:ilvl w:val="0"/>
                <w:numId w:val="2"/>
              </w:numPr>
              <w:spacing w:after="60" w:before="40"/>
            </w:pPr>
            <w:r>
              <w:rPr>
                <w:rFonts w:ascii="Arial" w:cs="Arial" w:eastAsia="Arial" w:hAnsi="Arial"/>
                <w:color w:val="333333"/>
                <w:sz w:val="22"/>
                <w:szCs w:val="22"/>
              </w:rPr>
              <w:t xml:space="preserve">Two-tower retrieval (semantic + obligation type)</w:t>
            </w:r>
          </w:p>
          <w:p>
            <w:pPr>
              <w:pStyle w:val="ListParagraph"/>
              <w:numPr>
                <w:ilvl w:val="0"/>
                <w:numId w:val="2"/>
              </w:numPr>
              <w:spacing w:after="60" w:before="40"/>
            </w:pPr>
            <w:r>
              <w:rPr>
                <w:rFonts w:ascii="Arial" w:cs="Arial" w:eastAsia="Arial" w:hAnsi="Arial"/>
                <w:color w:val="333333"/>
                <w:sz w:val="22"/>
                <w:szCs w:val="22"/>
              </w:rPr>
              <w:t xml:space="preserve">LangChain 3-step chain-of-thought pipeline</w:t>
            </w:r>
          </w:p>
          <w:p>
            <w:pPr>
              <w:pStyle w:val="ListParagraph"/>
              <w:numPr>
                <w:ilvl w:val="0"/>
                <w:numId w:val="2"/>
              </w:numPr>
              <w:spacing w:after="60" w:before="40"/>
            </w:pPr>
            <w:r>
              <w:rPr>
                <w:rFonts w:ascii="Arial" w:cs="Arial" w:eastAsia="Arial" w:hAnsi="Arial"/>
                <w:color w:val="333333"/>
                <w:sz w:val="22"/>
                <w:szCs w:val="22"/>
              </w:rPr>
              <w:t xml:space="preserve">Ollama + LLaMA 3.1 8B integration (laptop + RPi5)</w:t>
            </w:r>
          </w:p>
        </w:tc>
        <w:tc>
          <w:tcPr>
            <w:tcW w:type="dxa" w:w="4680"/>
            <w:tcBorders>
              <w:top w:val="none" w:color="FFFFFF" w:sz="0"/>
              <w:left w:val="none" w:color="FFFFFF" w:sz="0"/>
              <w:bottom w:val="none" w:color="FFFFFF" w:sz="0"/>
              <w:right w:val="none" w:color="FFFFFF" w:sz="0"/>
            </w:tcBorders>
            <w:shd w:fill="D4EFED" w:val="clear"/>
            <w:tcMar>
              <w:top w:type="dxa" w:w="140"/>
              <w:left w:type="dxa" w:w="100"/>
              <w:bottom w:type="dxa" w:w="140"/>
              <w:right w:type="dxa" w:w="180"/>
            </w:tcMar>
          </w:tcPr>
          <w:p>
            <w:pPr>
              <w:spacing w:after="60" w:before="60"/>
            </w:pPr>
            <w:r>
              <w:rPr>
                <w:rFonts w:ascii="Arial" w:cs="Arial" w:eastAsia="Arial" w:hAnsi="Arial"/>
                <w:b/>
                <w:bCs/>
                <w:color w:val="1B2A4A"/>
                <w:sz w:val="22"/>
                <w:szCs w:val="22"/>
              </w:rPr>
              <w:t xml:space="preserve">Member 2 — Graph &amp; ML</w:t>
            </w:r>
          </w:p>
          <w:p>
            <w:pPr>
              <w:pStyle w:val="ListParagraph"/>
              <w:numPr>
                <w:ilvl w:val="0"/>
                <w:numId w:val="2"/>
              </w:numPr>
              <w:spacing w:after="60" w:before="40"/>
            </w:pPr>
            <w:r>
              <w:rPr>
                <w:rFonts w:ascii="Arial" w:cs="Arial" w:eastAsia="Arial" w:hAnsi="Arial"/>
                <w:color w:val="333333"/>
                <w:sz w:val="22"/>
                <w:szCs w:val="22"/>
              </w:rPr>
              <w:t xml:space="preserve">NetworkX contradiction knowledge graph</w:t>
            </w:r>
          </w:p>
          <w:p>
            <w:pPr>
              <w:pStyle w:val="ListParagraph"/>
              <w:numPr>
                <w:ilvl w:val="0"/>
                <w:numId w:val="2"/>
              </w:numPr>
              <w:spacing w:after="60" w:before="40"/>
            </w:pPr>
            <w:r>
              <w:rPr>
                <w:rFonts w:ascii="Arial" w:cs="Arial" w:eastAsia="Arial" w:hAnsi="Arial"/>
                <w:color w:val="333333"/>
                <w:sz w:val="22"/>
                <w:szCs w:val="22"/>
              </w:rPr>
              <w:t xml:space="preserve">Confidence calibration (logistic regression)</w:t>
            </w:r>
          </w:p>
          <w:p>
            <w:pPr>
              <w:pStyle w:val="ListParagraph"/>
              <w:numPr>
                <w:ilvl w:val="0"/>
                <w:numId w:val="2"/>
              </w:numPr>
              <w:spacing w:after="60" w:before="40"/>
            </w:pPr>
            <w:r>
              <w:rPr>
                <w:rFonts w:ascii="Arial" w:cs="Arial" w:eastAsia="Arial" w:hAnsi="Arial"/>
                <w:color w:val="333333"/>
                <w:sz w:val="22"/>
                <w:szCs w:val="22"/>
              </w:rPr>
              <w:t xml:space="preserve">Active learning feedback loop</w:t>
            </w:r>
          </w:p>
          <w:p>
            <w:pPr>
              <w:pStyle w:val="ListParagraph"/>
              <w:numPr>
                <w:ilvl w:val="0"/>
                <w:numId w:val="2"/>
              </w:numPr>
              <w:spacing w:after="60" w:before="40"/>
            </w:pPr>
            <w:r>
              <w:rPr>
                <w:rFonts w:ascii="Arial" w:cs="Arial" w:eastAsia="Arial" w:hAnsi="Arial"/>
                <w:color w:val="333333"/>
                <w:sz w:val="22"/>
                <w:szCs w:val="22"/>
              </w:rPr>
              <w:t xml:space="preserve">Resolution impact analysis engine</w:t>
            </w:r>
          </w:p>
          <w:p>
            <w:pPr>
              <w:pStyle w:val="ListParagraph"/>
              <w:numPr>
                <w:ilvl w:val="0"/>
                <w:numId w:val="2"/>
              </w:numPr>
              <w:spacing w:after="60" w:before="40"/>
            </w:pPr>
            <w:r>
              <w:rPr>
                <w:rFonts w:ascii="Arial" w:cs="Arial" w:eastAsia="Arial" w:hAnsi="Arial"/>
                <w:color w:val="333333"/>
                <w:sz w:val="22"/>
                <w:szCs w:val="22"/>
              </w:rPr>
              <w:t xml:space="preserve">Audit trail + financial risk calculation logic</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C" w:val="clear"/>
            <w:tcMar>
              <w:top w:type="dxa" w:w="160"/>
              <w:left w:type="dxa" w:w="200"/>
              <w:bottom w:type="dxa" w:w="160"/>
              <w:right w:type="dxa" w:w="200"/>
            </w:tcMar>
          </w:tcPr>
          <w:p>
            <w:pPr>
              <w:spacing w:after="60" w:before="60"/>
            </w:pPr>
            <w:r>
              <w:rPr>
                <w:rFonts w:ascii="Arial" w:cs="Arial" w:eastAsia="Arial" w:hAnsi="Arial"/>
                <w:b/>
                <w:bCs/>
                <w:color w:val="1B2A4A"/>
                <w:sz w:val="22"/>
                <w:szCs w:val="22"/>
              </w:rPr>
              <w:t xml:space="preserve">Member 3 — Frontend + Edge Node + Demo Data</w:t>
            </w:r>
          </w:p>
          <w:p>
            <w:pPr>
              <w:spacing w:after="80" w:before="60"/>
            </w:pPr>
            <w:r>
              <w:rPr>
                <w:rFonts w:ascii="Arial" w:cs="Arial" w:eastAsia="Arial" w:hAnsi="Arial"/>
                <w:color w:val="333333"/>
                <w:sz w:val="22"/>
                <w:szCs w:val="22"/>
              </w:rPr>
              <w:t xml:space="preserve">React + React Flow graph visualization, review workspace UI, severity badges, resolve/dismiss/escalate actions, financial risk KPI dashboard. Configure the Raspberry Pi 5 edge node: flash OS, install Ollama, load LLaMA 3 and BERT-Legal-Base, configure REST/gRPC server, verify 12ms latency benchmark. Prepare synthetic demo dataset — 3 document pairs with 8–10 pre-seeded contradictions.</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Hour</w:t>
            </w:r>
          </w:p>
        </w:tc>
        <w:tc>
          <w:tcPr>
            <w:tcW w:type="dxa" w:w="7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2E6FD4"/>
                <w:sz w:val="20"/>
                <w:szCs w:val="20"/>
              </w:rPr>
              <w:t xml:space="preserve">0 – 4</w:t>
            </w:r>
          </w:p>
        </w:tc>
        <w:tc>
          <w:tcPr>
            <w:tcW w:type="dxa" w:w="7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333333"/>
                <w:sz w:val="20"/>
                <w:szCs w:val="20"/>
              </w:rPr>
              <w:t xml:space="preserve">Environment setup, Ollama running on laptop and RPi5, ChromaDB schema, React scaffold, synthetic dataset drafted, RPi5 LLaMA 3 benchmark verified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FD4"/>
                <w:sz w:val="20"/>
                <w:szCs w:val="20"/>
              </w:rPr>
              <w:t xml:space="preserve">4 – 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Chunking pipeline working end-to-end, embeddings stored, two-tower retrieval returning candidate pairs, RPi5 inference API responding</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2E6FD4"/>
                <w:sz w:val="20"/>
                <w:szCs w:val="20"/>
              </w:rPr>
              <w:t xml:space="preserve">8 – 12</w:t>
            </w:r>
          </w:p>
        </w:tc>
        <w:tc>
          <w:tcPr>
            <w:tcW w:type="dxa" w:w="7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333333"/>
                <w:sz w:val="20"/>
                <w:szCs w:val="20"/>
              </w:rPr>
              <w:t xml:space="preserve">3-step chain-of-thought pipeline returning structured JSON, graph construction in NetworkX, React Flow rendering nodes and typed edges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FD4"/>
                <w:sz w:val="20"/>
                <w:szCs w:val="20"/>
              </w:rPr>
              <w:t xml:space="preserve">12 – 16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Confidence scoring, active learning loop, human review UI with accept/dismiss/escalate, financial risk KPI calculated and displayed</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2E6FD4"/>
                <w:sz w:val="20"/>
                <w:szCs w:val="20"/>
              </w:rPr>
              <w:t xml:space="preserve">16 – 20</w:t>
            </w:r>
          </w:p>
        </w:tc>
        <w:tc>
          <w:tcPr>
            <w:tcW w:type="dxa" w:w="7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333333"/>
                <w:sz w:val="20"/>
                <w:szCs w:val="20"/>
              </w:rPr>
              <w:t xml:space="preserve">Integration checkpoint — full pipeline demo on synthetic data, bug fixes, resolution impact analysis working, RPi5 edge demo verified end-to-end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FD4"/>
                <w:sz w:val="20"/>
                <w:szCs w:val="20"/>
              </w:rPr>
              <w:t xml:space="preserve">20 – 24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 polish, audit trail UI, impact dashboard finalized, financial risk narrative prepared, presentation rehearsal</w:t>
            </w:r>
          </w:p>
        </w:tc>
      </w:tr>
    </w:tbl>
    <w:p>
      <w:pPr>
        <w:spacing w:after="80" w:before="0"/>
      </w:pPr>
      <w:r>
        <w:rPr>
          <w:rFonts w:ascii="Arial" w:cs="Arial" w:eastAsia="Arial" w:hAnsi="Arial"/>
          <w:sz w:val="22"/>
          <w:szCs w:val="22"/>
        </w:rPr>
        <w:t xml:space="preserve"/>
      </w:r>
    </w:p>
    <w:p>
      <w:pPr>
        <w:pStyle w:val="Heading1"/>
        <w:spacing w:after="160" w:before="400"/>
      </w:pPr>
      <w:r>
        <w:rPr>
          <w:rFonts w:ascii="Arial" w:cs="Arial" w:eastAsia="Arial" w:hAnsi="Arial"/>
          <w:b/>
          <w:bCs/>
          <w:color w:val="1B2A4A"/>
          <w:sz w:val="32"/>
          <w:szCs w:val="32"/>
        </w:rPr>
        <w:t xml:space="preserve">8. Demo Flow &amp; Impact</w:t>
      </w:r>
    </w:p>
    <w:p>
      <w:pPr>
        <w:pStyle w:val="Heading2"/>
        <w:pBdr>
          <w:bottom w:val="single" w:color="2E6FD4" w:sz="4" w:space="4"/>
        </w:pBdr>
        <w:spacing w:after="120" w:before="320"/>
      </w:pPr>
      <w:r>
        <w:rPr>
          <w:rFonts w:ascii="Arial" w:cs="Arial" w:eastAsia="Arial" w:hAnsi="Arial"/>
          <w:b/>
          <w:bCs/>
          <w:color w:val="2E6FD4"/>
          <w:sz w:val="26"/>
          <w:szCs w:val="26"/>
        </w:rPr>
        <w:t xml:space="preserve">5-Minute Judge Demo</w:t>
      </w:r>
    </w:p>
    <w:p>
      <w:pPr>
        <w:pStyle w:val="ListParagraph"/>
        <w:numPr>
          <w:ilvl w:val="0"/>
          <w:numId w:val="2"/>
        </w:numPr>
        <w:spacing w:after="60" w:before="40"/>
      </w:pPr>
      <w:r>
        <w:rPr>
          <w:rFonts w:ascii="Arial" w:cs="Arial" w:eastAsia="Arial" w:hAnsi="Arial"/>
          <w:color w:val="333333"/>
          <w:sz w:val="22"/>
          <w:szCs w:val="22"/>
        </w:rPr>
        <w:t xml:space="preserve">Upload two documents — an HR Policy PDF and an Employment Contract PDF — via the Quick Scan drop zone.</w:t>
      </w:r>
    </w:p>
    <w:p>
      <w:pPr>
        <w:pStyle w:val="ListParagraph"/>
        <w:numPr>
          <w:ilvl w:val="0"/>
          <w:numId w:val="2"/>
        </w:numPr>
        <w:spacing w:after="60" w:before="40"/>
      </w:pPr>
      <w:r>
        <w:rPr>
          <w:rFonts w:ascii="Arial" w:cs="Arial" w:eastAsia="Arial" w:hAnsi="Arial"/>
          <w:color w:val="333333"/>
          <w:sz w:val="22"/>
          <w:szCs w:val="22"/>
        </w:rPr>
        <w:t xml:space="preserve">System processes in ~15 seconds on the RPi5 edge node (visible in the Edge Node live log on a second screen), returns 4–6 flagged contradictions with severity scores.</w:t>
      </w:r>
    </w:p>
    <w:p>
      <w:pPr>
        <w:pStyle w:val="ListParagraph"/>
        <w:numPr>
          <w:ilvl w:val="0"/>
          <w:numId w:val="2"/>
        </w:numPr>
        <w:spacing w:after="60" w:before="40"/>
      </w:pPr>
      <w:r>
        <w:rPr>
          <w:rFonts w:ascii="Arial" w:cs="Arial" w:eastAsia="Arial" w:hAnsi="Arial"/>
          <w:color w:val="333333"/>
          <w:sz w:val="22"/>
          <w:szCs w:val="22"/>
        </w:rPr>
        <w:t xml:space="preserve">Click one contradiction — show the three-step explainability panel: Paraphrase, Compare, Classify. Point out the 98% confidence score and the evidence trace.</w:t>
      </w:r>
    </w:p>
    <w:p>
      <w:pPr>
        <w:pStyle w:val="ListParagraph"/>
        <w:numPr>
          <w:ilvl w:val="0"/>
          <w:numId w:val="2"/>
        </w:numPr>
        <w:spacing w:after="60" w:before="40"/>
      </w:pPr>
      <w:r>
        <w:rPr>
          <w:rFonts w:ascii="Arial" w:cs="Arial" w:eastAsia="Arial" w:hAnsi="Arial"/>
          <w:color w:val="333333"/>
          <w:sz w:val="22"/>
          <w:szCs w:val="22"/>
        </w:rPr>
        <w:t xml:space="preserve">Show the contradiction knowledge graph in React Flow — nodes color-coded by document, edges typed by conflict category. Click a node to show its connected conflicts.</w:t>
      </w:r>
    </w:p>
    <w:p>
      <w:pPr>
        <w:pStyle w:val="ListParagraph"/>
        <w:numPr>
          <w:ilvl w:val="0"/>
          <w:numId w:val="2"/>
        </w:numPr>
        <w:spacing w:after="60" w:before="40"/>
      </w:pPr>
      <w:r>
        <w:rPr>
          <w:rFonts w:ascii="Arial" w:cs="Arial" w:eastAsia="Arial" w:hAnsi="Arial"/>
          <w:color w:val="333333"/>
          <w:sz w:val="22"/>
          <w:szCs w:val="22"/>
        </w:rPr>
        <w:t xml:space="preserve">Click 'Resolve' — the AI proposes three resolution options; reviewer selects and edits one inline. Audit log updates in real time.</w:t>
      </w:r>
    </w:p>
    <w:p>
      <w:pPr>
        <w:pStyle w:val="ListParagraph"/>
        <w:numPr>
          <w:ilvl w:val="0"/>
          <w:numId w:val="2"/>
        </w:numPr>
        <w:spacing w:after="60" w:before="40"/>
      </w:pPr>
      <w:r>
        <w:rPr>
          <w:rFonts w:ascii="Arial" w:cs="Arial" w:eastAsia="Arial" w:hAnsi="Arial"/>
          <w:color w:val="333333"/>
          <w:sz w:val="22"/>
          <w:szCs w:val="22"/>
        </w:rPr>
        <w:t xml:space="preserve">Switch to the Edge Node screen — show the RPi5 hardware telemetry, LLaMA 3 running at 28.4 TPS, zero internet connection indicator.</w:t>
      </w:r>
    </w:p>
    <w:p>
      <w:pPr>
        <w:pStyle w:val="ListParagraph"/>
        <w:numPr>
          <w:ilvl w:val="0"/>
          <w:numId w:val="2"/>
        </w:numPr>
        <w:spacing w:after="60" w:before="40"/>
      </w:pPr>
      <w:r>
        <w:rPr>
          <w:rFonts w:ascii="Arial" w:cs="Arial" w:eastAsia="Arial" w:hAnsi="Arial"/>
          <w:color w:val="333333"/>
          <w:sz w:val="22"/>
          <w:szCs w:val="22"/>
        </w:rPr>
        <w:t xml:space="preserve">Close on the Financial Risk KPI: 'This contract set had ₹2.4 Cr in undetected financial risk. ClauseGuard found it in 15 seconds, on a ₹10,000 device, with no data leaving this room.'</w:t>
      </w:r>
    </w:p>
    <w:p>
      <w:pPr>
        <w:spacing w:after="80" w:before="0"/>
      </w:pPr>
      <w:r>
        <w:rPr>
          <w:rFonts w:ascii="Arial" w:cs="Arial" w:eastAsia="Arial" w:hAnsi="Arial"/>
          <w:sz w:val="22"/>
          <w:szCs w:val="22"/>
        </w:rPr>
        <w:t xml:space="preserve"/>
      </w:r>
    </w:p>
    <w:p>
      <w:pPr>
        <w:pStyle w:val="Heading2"/>
        <w:pBdr>
          <w:bottom w:val="single" w:color="2E6FD4" w:sz="4" w:space="4"/>
        </w:pBdr>
        <w:spacing w:after="120" w:before="320"/>
      </w:pPr>
      <w:r>
        <w:rPr>
          <w:rFonts w:ascii="Arial" w:cs="Arial" w:eastAsia="Arial" w:hAnsi="Arial"/>
          <w:b/>
          <w:bCs/>
          <w:color w:val="2E6FD4"/>
          <w:sz w:val="26"/>
          <w:szCs w:val="26"/>
        </w:rPr>
        <w:t xml:space="preserve">Impact Summary</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ClauseGuard Outcome</w:t>
            </w:r>
          </w:p>
        </w:tc>
      </w:tr>
      <w:tr>
        <w:tc>
          <w:tcPr>
            <w:tcW w:type="dxa" w:w="4000"/>
            <w:tcBorders>
              <w:top w:val="single" w:color="CCCCCC" w:sz="1"/>
              <w:left w:val="single" w:color="CCCCCC" w:sz="1"/>
              <w:bottom w:val="single" w:color="CCCCCC" w:sz="1"/>
              <w:right w:val="single" w:color="CCCCCC" w:sz="1"/>
            </w:tcBorders>
            <w:shd w:fill="EDE9F8" w:val="clear"/>
            <w:tcMar>
              <w:top w:type="dxa" w:w="80"/>
              <w:left w:type="dxa" w:w="120"/>
              <w:bottom w:type="dxa" w:w="80"/>
              <w:right w:type="dxa" w:w="120"/>
            </w:tcMar>
          </w:tcPr>
          <w:p>
            <w:r>
              <w:rPr>
                <w:rFonts w:ascii="Arial" w:cs="Arial" w:eastAsia="Arial" w:hAnsi="Arial"/>
                <w:b/>
                <w:bCs/>
                <w:color w:val="333333"/>
                <w:sz w:val="20"/>
                <w:szCs w:val="20"/>
              </w:rPr>
              <w:t xml:space="preserve">Financial Risk Prevented</w:t>
            </w:r>
          </w:p>
        </w:tc>
        <w:tc>
          <w:tcPr>
            <w:tcW w:type="dxa" w:w="5360"/>
            <w:tcBorders>
              <w:top w:val="single" w:color="CCCCCC" w:sz="1"/>
              <w:left w:val="single" w:color="CCCCCC" w:sz="1"/>
              <w:bottom w:val="single" w:color="CCCCCC" w:sz="1"/>
              <w:right w:val="single" w:color="CCCCCC" w:sz="1"/>
            </w:tcBorders>
            <w:shd w:fill="EDE9F8" w:val="clear"/>
            <w:tcMar>
              <w:top w:type="dxa" w:w="80"/>
              <w:left w:type="dxa" w:w="120"/>
              <w:bottom w:type="dxa" w:w="80"/>
              <w:right w:type="dxa" w:w="120"/>
            </w:tcMar>
          </w:tcPr>
          <w:p>
            <w:r>
              <w:rPr>
                <w:rFonts w:ascii="Arial" w:cs="Arial" w:eastAsia="Arial" w:hAnsi="Arial"/>
                <w:color w:val="333333"/>
                <w:sz w:val="20"/>
                <w:szCs w:val="20"/>
              </w:rPr>
              <w:t xml:space="preserve">₹2.4 Cr+ per 100-contract review cycle at ₹10L avg resolution cost per undetected conflict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Review 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From 3–4 hours manual to ~15 seconds automated — 94% reduction</w:t>
            </w:r>
          </w:p>
        </w:tc>
      </w:tr>
      <w:tr>
        <w:tc>
          <w:tcPr>
            <w:tcW w:type="dxa" w:w="4000"/>
            <w:tcBorders>
              <w:top w:val="single" w:color="CCCCCC" w:sz="1"/>
              <w:left w:val="single" w:color="CCCCCC" w:sz="1"/>
              <w:bottom w:val="single" w:color="CCCCCC" w:sz="1"/>
              <w:right w:val="single" w:color="CCCCCC" w:sz="1"/>
            </w:tcBorders>
            <w:shd w:fill="EDE9F8" w:val="clear"/>
            <w:tcMar>
              <w:top w:type="dxa" w:w="80"/>
              <w:left w:type="dxa" w:w="120"/>
              <w:bottom w:type="dxa" w:w="80"/>
              <w:right w:type="dxa" w:w="120"/>
            </w:tcMar>
          </w:tcPr>
          <w:p>
            <w:r>
              <w:rPr>
                <w:rFonts w:ascii="Arial" w:cs="Arial" w:eastAsia="Arial" w:hAnsi="Arial"/>
                <w:b/>
                <w:bCs/>
                <w:color w:val="333333"/>
                <w:sz w:val="20"/>
                <w:szCs w:val="20"/>
              </w:rPr>
              <w:t xml:space="preserve">False Positive Rate</w:t>
            </w:r>
          </w:p>
        </w:tc>
        <w:tc>
          <w:tcPr>
            <w:tcW w:type="dxa" w:w="5360"/>
            <w:tcBorders>
              <w:top w:val="single" w:color="CCCCCC" w:sz="1"/>
              <w:left w:val="single" w:color="CCCCCC" w:sz="1"/>
              <w:bottom w:val="single" w:color="CCCCCC" w:sz="1"/>
              <w:right w:val="single" w:color="CCCCCC" w:sz="1"/>
            </w:tcBorders>
            <w:shd w:fill="EDE9F8" w:val="clear"/>
            <w:tcMar>
              <w:top w:type="dxa" w:w="80"/>
              <w:left w:type="dxa" w:w="120"/>
              <w:bottom w:type="dxa" w:w="80"/>
              <w:right w:type="dxa" w:w="120"/>
            </w:tcMar>
          </w:tcPr>
          <w:p>
            <w:r>
              <w:rPr>
                <w:rFonts w:ascii="Arial" w:cs="Arial" w:eastAsia="Arial" w:hAnsi="Arial"/>
                <w:color w:val="333333"/>
                <w:sz w:val="20"/>
                <w:szCs w:val="20"/>
              </w:rPr>
              <w:t xml:space="preserve">~60% reduction vs naive all-pairs similarity via two-tower obligation-type filtering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Knowledge Retention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resolved contradiction stored as institutional knowledge, never lost when staff changes</w:t>
            </w:r>
          </w:p>
        </w:tc>
      </w:tr>
      <w:tr>
        <w:tc>
          <w:tcPr>
            <w:tcW w:type="dxa" w:w="4000"/>
            <w:tcBorders>
              <w:top w:val="single" w:color="CCCCCC" w:sz="1"/>
              <w:left w:val="single" w:color="CCCCCC" w:sz="1"/>
              <w:bottom w:val="single" w:color="CCCCCC" w:sz="1"/>
              <w:right w:val="single" w:color="CCCCCC" w:sz="1"/>
            </w:tcBorders>
            <w:shd w:fill="EDE9F8" w:val="clear"/>
            <w:tcMar>
              <w:top w:type="dxa" w:w="80"/>
              <w:left w:type="dxa" w:w="120"/>
              <w:bottom w:type="dxa" w:w="80"/>
              <w:right w:type="dxa" w:w="120"/>
            </w:tcMar>
          </w:tcPr>
          <w:p>
            <w:r>
              <w:rPr>
                <w:rFonts w:ascii="Arial" w:cs="Arial" w:eastAsia="Arial" w:hAnsi="Arial"/>
                <w:b/>
                <w:bCs/>
                <w:color w:val="333333"/>
                <w:sz w:val="20"/>
                <w:szCs w:val="20"/>
              </w:rPr>
              <w:t xml:space="preserve">Data Sovereignty</w:t>
            </w:r>
          </w:p>
        </w:tc>
        <w:tc>
          <w:tcPr>
            <w:tcW w:type="dxa" w:w="5360"/>
            <w:tcBorders>
              <w:top w:val="single" w:color="CCCCCC" w:sz="1"/>
              <w:left w:val="single" w:color="CCCCCC" w:sz="1"/>
              <w:bottom w:val="single" w:color="CCCCCC" w:sz="1"/>
              <w:right w:val="single" w:color="CCCCCC" w:sz="1"/>
            </w:tcBorders>
            <w:shd w:fill="EDE9F8" w:val="clear"/>
            <w:tcMar>
              <w:top w:type="dxa" w:w="80"/>
              <w:left w:type="dxa" w:w="120"/>
              <w:bottom w:type="dxa" w:w="80"/>
              <w:right w:type="dxa" w:w="120"/>
            </w:tcMar>
          </w:tcPr>
          <w:p>
            <w:r>
              <w:rPr>
                <w:rFonts w:ascii="Arial" w:cs="Arial" w:eastAsia="Arial" w:hAnsi="Arial"/>
                <w:color w:val="333333"/>
                <w:sz w:val="20"/>
                <w:szCs w:val="20"/>
              </w:rPr>
              <w:t xml:space="preserve">Zero cloud dependency — all inference on Raspberry Pi 5, GDPR/HIPAA/SOC 2 compliant by architecture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System Improvement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learning: accuracy improves measurably after every 20+ human feedback actions</w:t>
            </w:r>
          </w:p>
        </w:tc>
      </w:tr>
      <w:tr>
        <w:tc>
          <w:tcPr>
            <w:tcW w:type="dxa" w:w="4000"/>
            <w:tcBorders>
              <w:top w:val="single" w:color="CCCCCC" w:sz="1"/>
              <w:left w:val="single" w:color="CCCCCC" w:sz="1"/>
              <w:bottom w:val="single" w:color="CCCCCC" w:sz="1"/>
              <w:right w:val="single" w:color="CCCCCC" w:sz="1"/>
            </w:tcBorders>
            <w:shd w:fill="EDE9F8" w:val="clear"/>
            <w:tcMar>
              <w:top w:type="dxa" w:w="80"/>
              <w:left w:type="dxa" w:w="120"/>
              <w:bottom w:type="dxa" w:w="80"/>
              <w:right w:type="dxa" w:w="120"/>
            </w:tcMar>
          </w:tcPr>
          <w:p>
            <w:r>
              <w:rPr>
                <w:rFonts w:ascii="Arial" w:cs="Arial" w:eastAsia="Arial" w:hAnsi="Arial"/>
                <w:b/>
                <w:bCs/>
                <w:color w:val="333333"/>
                <w:sz w:val="20"/>
                <w:szCs w:val="20"/>
              </w:rPr>
              <w:t xml:space="preserve">Audit Readiness</w:t>
            </w:r>
          </w:p>
        </w:tc>
        <w:tc>
          <w:tcPr>
            <w:tcW w:type="dxa" w:w="5360"/>
            <w:tcBorders>
              <w:top w:val="single" w:color="CCCCCC" w:sz="1"/>
              <w:left w:val="single" w:color="CCCCCC" w:sz="1"/>
              <w:bottom w:val="single" w:color="CCCCCC" w:sz="1"/>
              <w:right w:val="single" w:color="CCCCCC" w:sz="1"/>
            </w:tcBorders>
            <w:shd w:fill="EDE9F8" w:val="clear"/>
            <w:tcMar>
              <w:top w:type="dxa" w:w="80"/>
              <w:left w:type="dxa" w:w="120"/>
              <w:bottom w:type="dxa" w:w="80"/>
              <w:right w:type="dxa" w:w="120"/>
            </w:tcMar>
          </w:tcPr>
          <w:p>
            <w:r>
              <w:rPr>
                <w:rFonts w:ascii="Arial" w:cs="Arial" w:eastAsia="Arial" w:hAnsi="Arial"/>
                <w:color w:val="333333"/>
                <w:sz w:val="20"/>
                <w:szCs w:val="20"/>
              </w:rPr>
              <w:t xml:space="preserve">Full timestamped audit trail with human decision log — ready for ISO and GDPR audit requests</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40" w:before="80"/>
              <w:jc w:val="center"/>
            </w:pPr>
            <w:r>
              <w:rPr>
                <w:rFonts w:ascii="Arial" w:cs="Arial" w:eastAsia="Arial" w:hAnsi="Arial"/>
                <w:b/>
                <w:bCs/>
                <w:color w:val="1B2A4A"/>
                <w:sz w:val="24"/>
                <w:szCs w:val="24"/>
              </w:rPr>
              <w:t xml:space="preserve">Why ClauseGuard Wins Track 02</w:t>
            </w:r>
          </w:p>
          <w:p>
            <w:pPr>
              <w:spacing w:after="80" w:before="0"/>
              <w:jc w:val="center"/>
            </w:pPr>
            <w:r>
              <w:rPr>
                <w:rFonts w:ascii="Arial" w:cs="Arial" w:eastAsia="Arial" w:hAnsi="Arial"/>
                <w:color w:val="2E6FD4"/>
                <w:sz w:val="22"/>
                <w:szCs w:val="22"/>
              </w:rPr>
              <w:t xml:space="preserve">Explainability  ✓   Human-in-the-loop  ✓   Financial impact quantified  ✓   Open source  ✓   Air-gapped edge deployment  ✓   Technically deep  ✓</w:t>
            </w:r>
          </w:p>
        </w:tc>
      </w:tr>
    </w:tbl>
    <w:p>
      <w:pPr>
        <w:spacing w:after="80" w:before="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FD4" w:sz="6" w:space="4"/>
      </w:pBdr>
      <w:tabs>
        <w:tab w:val="right" w:pos="9026"/>
      </w:tabs>
      <w:spacing w:before="0"/>
    </w:pPr>
    <w:r>
      <w:rPr>
        <w:rFonts w:ascii="Arial" w:cs="Arial" w:eastAsia="Arial" w:hAnsi="Arial"/>
        <w:color w:val="888888"/>
        <w:sz w:val="18"/>
        <w:szCs w:val="18"/>
      </w:rPr>
      <w:t xml:space="preserve">Raspberry Pi 5 Edge Node  •  Fully Open Source  •  Zero Cloud Dependency</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FD4" w:sz="6" w:space="4"/>
      </w:pBdr>
      <w:spacing w:after="0"/>
    </w:pPr>
    <w:r>
      <w:rPr>
        <w:rFonts w:ascii="Arial" w:cs="Arial" w:eastAsia="Arial" w:hAnsi="Arial"/>
        <w:color w:val="888888"/>
        <w:sz w:val="18"/>
        <w:szCs w:val="18"/>
      </w:rPr>
      <w:t xml:space="preserve">ClauseGuard — Team Techtonics  |  HackfiniX 2026  |  Track 02: Human–AI Collaboration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2026-05-30T02:05:16.820Z</dcterms:created>
  <dcterms:modified xsi:type="dcterms:W3CDTF">2026-05-30T02:05:16.833Z</dcterms:modified>
</cp:coreProperties>
</file>

<file path=docProps/custom.xml><?xml version="1.0" encoding="utf-8"?>
<Properties xmlns="http://schemas.openxmlformats.org/officeDocument/2006/custom-properties" xmlns:vt="http://schemas.openxmlformats.org/officeDocument/2006/docPropsVTypes"/>
</file>