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56DB"/>
          <w:sz w:val="52"/>
          <w:szCs w:val="52"/>
        </w:rPr>
        <w:t xml:space="preserve">SKIIP</w:t>
      </w:r>
    </w:p>
    <w:p>
      <w:pPr>
        <w:spacing w:after="80" w:before="0"/>
        <w:jc w:val="center"/>
      </w:pPr>
      <w:r>
        <w:rPr>
          <w:rFonts w:ascii="Arial" w:cs="Arial" w:eastAsia="Arial" w:hAnsi="Arial"/>
          <w:color w:val="6B7280"/>
          <w:sz w:val="30"/>
          <w:szCs w:val="30"/>
        </w:rPr>
        <w:t xml:space="preserve">Project Progress Update</w:t>
      </w:r>
    </w:p>
    <w:p>
      <w:pPr>
        <w:spacing w:after="360" w:before="0"/>
        <w:jc w:val="center"/>
      </w:pPr>
      <w:r>
        <w:rPr>
          <w:rFonts w:ascii="Arial" w:cs="Arial" w:eastAsia="Arial" w:hAnsi="Arial"/>
          <w:i/>
          <w:iCs/>
          <w:color w:val="6B7280"/>
          <w:sz w:val="22"/>
          <w:szCs w:val="22"/>
        </w:rPr>
        <w:t xml:space="preserve">April 2026</w:t>
      </w:r>
    </w:p>
    <w:p>
      <w:pPr>
        <w:pBdr>
          <w:bottom w:val="single" w:color="E5E7EB" w:sz="4" w:space="1"/>
        </w:pBdr>
        <w:spacing w:after="200" w:before="200"/>
      </w:pPr>
      <w:r>
        <w:t xml:space="preserve"/>
      </w:r>
    </w:p>
    <w:p>
      <w:pPr>
        <w:pStyle w:val="Heading1"/>
        <w:spacing w:after="120" w:before="360"/>
      </w:pPr>
      <w:r>
        <w:rPr>
          <w:rFonts w:ascii="Arial" w:cs="Arial" w:eastAsia="Arial" w:hAnsi="Arial"/>
          <w:b/>
          <w:bCs/>
          <w:color w:val="1A56DB"/>
          <w:sz w:val="36"/>
          <w:szCs w:val="36"/>
        </w:rPr>
        <w:t xml:space="preserve">Where We Are</w:t>
      </w:r>
    </w:p>
    <w:p>
      <w:pPr>
        <w:spacing w:after="100" w:before="60"/>
      </w:pPr>
      <w:r>
        <w:rPr>
          <w:rFonts w:ascii="Arial" w:cs="Arial" w:eastAsia="Arial" w:hAnsi="Arial"/>
          <w:b w:val="false"/>
          <w:bCs w:val="false"/>
          <w:i w:val="false"/>
          <w:iCs w:val="false"/>
          <w:color w:val="111827"/>
          <w:sz w:val="22"/>
          <w:szCs w:val="22"/>
        </w:rPr>
        <w:t xml:space="preserve">We are pleased to share that SKIIP has reached a significant milestone. The core product is built, working, and has been validated end-to-end. We are currently in the final stretch before launch — approximately 80–85% through the project journey.</w:t>
      </w:r>
    </w:p>
    <w:p>
      <w:pPr>
        <w:spacing w:after="160" w:before="0"/>
      </w:pPr>
      <w:r>
        <w:t xml:space="preserve"/>
      </w:r>
    </w:p>
    <w:p>
      <w:pPr>
        <w:spacing w:after="100" w:before="60"/>
      </w:pPr>
      <w:r>
        <w:rPr>
          <w:rFonts w:ascii="Arial" w:cs="Arial" w:eastAsia="Arial" w:hAnsi="Arial"/>
          <w:b w:val="false"/>
          <w:bCs w:val="false"/>
          <w:i w:val="false"/>
          <w:iCs w:val="false"/>
          <w:color w:val="111827"/>
          <w:sz w:val="22"/>
          <w:szCs w:val="22"/>
        </w:rPr>
        <w:t xml:space="preserve">The foundation is solid: buyers can sign up, browse, and pay; vendors can manage their stores and fulfil orders; admins have the tools they need to monitor and manage the platform. The critical systems — payments, order management, and real-time updates — are all live and functioning.</w:t>
      </w:r>
    </w:p>
    <w:p>
      <w:pPr>
        <w:spacing w:after="320" w:before="0"/>
      </w:pPr>
      <w:r>
        <w:t xml:space="preserve"/>
      </w:r>
    </w:p>
    <w:p>
      <w:pPr>
        <w:pStyle w:val="Heading2"/>
        <w:spacing w:after="100" w:before="280"/>
      </w:pPr>
      <w:r>
        <w:rPr>
          <w:rFonts w:ascii="Arial" w:cs="Arial" w:eastAsia="Arial" w:hAnsi="Arial"/>
          <w:b/>
          <w:bCs/>
          <w:color w:val="111827"/>
          <w:sz w:val="26"/>
          <w:szCs w:val="26"/>
        </w:rPr>
        <w:t xml:space="preserve">Overall Progress</w:t>
      </w:r>
    </w:p>
    <w:p>
      <w:pPr>
        <w:spacing w:after="80" w:before="60"/>
      </w:pPr>
      <w:r>
        <w:rPr>
          <w:rFonts w:ascii="Arial" w:cs="Arial" w:eastAsia="Arial" w:hAnsi="Arial"/>
          <w:b/>
          <w:bCs/>
          <w:color w:val="1A56DB"/>
          <w:sz w:val="28"/>
          <w:szCs w:val="28"/>
        </w:rPr>
        <w:t xml:space="preserve">80–85% Complete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
        <w:gridCol w:w="420"/>
        <w:gridCol w:w="420"/>
        <w:gridCol w:w="420"/>
        <w:gridCol w:w="420"/>
        <w:gridCol w:w="420"/>
        <w:gridCol w:w="420"/>
        <w:gridCol w:w="420"/>
        <w:gridCol w:w="420"/>
        <w:gridCol w:w="420"/>
        <w:gridCol w:w="420"/>
        <w:gridCol w:w="420"/>
        <w:gridCol w:w="420"/>
        <w:gridCol w:w="420"/>
        <w:gridCol w:w="420"/>
        <w:gridCol w:w="420"/>
        <w:gridCol w:w="420"/>
        <w:gridCol w:w="420"/>
        <w:gridCol w:w="420"/>
        <w:gridCol w:w="420"/>
      </w:tblGrid>
      <w:tr>
        <w:tc>
          <w:tcPr>
            <w:tcW w:type="dxa" w:w="420"/>
            <w:tcBorders>
              <w:top w:val="none" w:color="FFFFFF" w:sz="0"/>
              <w:left w:val="none" w:color="FFFFFF" w:sz="0"/>
              <w:bottom w:val="none" w:color="FFFFFF" w:sz="0"/>
              <w:right w:val="none" w:color="FFFFFF" w:sz="0"/>
            </w:tcBorders>
            <w:shd w:fill="1A56DB" w:val="clear"/>
            <w:tcMar>
              <w:top w:type="dxa" w:w="40"/>
              <w:left w:type="dxa" w:w="0"/>
              <w:bottom w:type="dxa" w:w="40"/>
              <w:right w:type="dxa" w:w="0"/>
            </w:tcMar>
          </w:tcPr>
          <w:p>
            <w:r>
              <w:t xml:space="preserve"/>
            </w:r>
          </w:p>
        </w:tc>
        <w:tc>
          <w:tcPr>
            <w:tcW w:type="dxa" w:w="420"/>
            <w:tcBorders>
              <w:top w:val="none" w:color="FFFFFF" w:sz="0"/>
              <w:left w:val="none" w:color="FFFFFF" w:sz="0"/>
              <w:bottom w:val="none" w:color="FFFFFF" w:sz="0"/>
              <w:right w:val="none" w:color="FFFFFF" w:sz="0"/>
            </w:tcBorders>
            <w:shd w:fill="1A56DB" w:val="clear"/>
            <w:tcMar>
              <w:top w:type="dxa" w:w="40"/>
              <w:left w:type="dxa" w:w="0"/>
              <w:bottom w:type="dxa" w:w="40"/>
              <w:right w:type="dxa" w:w="0"/>
            </w:tcMar>
          </w:tcPr>
          <w:p>
            <w:r>
              <w:t xml:space="preserve"/>
            </w:r>
          </w:p>
        </w:tc>
        <w:tc>
          <w:tcPr>
            <w:tcW w:type="dxa" w:w="420"/>
            <w:tcBorders>
              <w:top w:val="none" w:color="FFFFFF" w:sz="0"/>
              <w:left w:val="none" w:color="FFFFFF" w:sz="0"/>
              <w:bottom w:val="none" w:color="FFFFFF" w:sz="0"/>
              <w:right w:val="none" w:color="FFFFFF" w:sz="0"/>
            </w:tcBorders>
            <w:shd w:fill="1A56DB" w:val="clear"/>
            <w:tcMar>
              <w:top w:type="dxa" w:w="40"/>
              <w:left w:type="dxa" w:w="0"/>
              <w:bottom w:type="dxa" w:w="40"/>
              <w:right w:type="dxa" w:w="0"/>
            </w:tcMar>
          </w:tcPr>
          <w:p>
            <w:r>
              <w:t xml:space="preserve"/>
            </w:r>
          </w:p>
        </w:tc>
        <w:tc>
          <w:tcPr>
            <w:tcW w:type="dxa" w:w="420"/>
            <w:tcBorders>
              <w:top w:val="none" w:color="FFFFFF" w:sz="0"/>
              <w:left w:val="none" w:color="FFFFFF" w:sz="0"/>
              <w:bottom w:val="none" w:color="FFFFFF" w:sz="0"/>
              <w:right w:val="none" w:color="FFFFFF" w:sz="0"/>
            </w:tcBorders>
            <w:shd w:fill="1A56DB" w:val="clear"/>
            <w:tcMar>
              <w:top w:type="dxa" w:w="40"/>
              <w:left w:type="dxa" w:w="0"/>
              <w:bottom w:type="dxa" w:w="40"/>
              <w:right w:type="dxa" w:w="0"/>
            </w:tcMar>
          </w:tcPr>
          <w:p>
            <w:r>
              <w:t xml:space="preserve"/>
            </w:r>
          </w:p>
        </w:tc>
        <w:tc>
          <w:tcPr>
            <w:tcW w:type="dxa" w:w="420"/>
            <w:tcBorders>
              <w:top w:val="none" w:color="FFFFFF" w:sz="0"/>
              <w:left w:val="none" w:color="FFFFFF" w:sz="0"/>
              <w:bottom w:val="none" w:color="FFFFFF" w:sz="0"/>
              <w:right w:val="none" w:color="FFFFFF" w:sz="0"/>
            </w:tcBorders>
            <w:shd w:fill="1A56DB" w:val="clear"/>
            <w:tcMar>
              <w:top w:type="dxa" w:w="40"/>
              <w:left w:type="dxa" w:w="0"/>
              <w:bottom w:type="dxa" w:w="40"/>
              <w:right w:type="dxa" w:w="0"/>
            </w:tcMar>
          </w:tcPr>
          <w:p>
            <w:r>
              <w:t xml:space="preserve"/>
            </w:r>
          </w:p>
        </w:tc>
        <w:tc>
          <w:tcPr>
            <w:tcW w:type="dxa" w:w="420"/>
            <w:tcBorders>
              <w:top w:val="none" w:color="FFFFFF" w:sz="0"/>
              <w:left w:val="none" w:color="FFFFFF" w:sz="0"/>
              <w:bottom w:val="none" w:color="FFFFFF" w:sz="0"/>
              <w:right w:val="none" w:color="FFFFFF" w:sz="0"/>
            </w:tcBorders>
            <w:shd w:fill="1A56DB" w:val="clear"/>
            <w:tcMar>
              <w:top w:type="dxa" w:w="40"/>
              <w:left w:type="dxa" w:w="0"/>
              <w:bottom w:type="dxa" w:w="40"/>
              <w:right w:type="dxa" w:w="0"/>
            </w:tcMar>
          </w:tcPr>
          <w:p>
            <w:r>
              <w:t xml:space="preserve"/>
            </w:r>
          </w:p>
        </w:tc>
        <w:tc>
          <w:tcPr>
            <w:tcW w:type="dxa" w:w="420"/>
            <w:tcBorders>
              <w:top w:val="none" w:color="FFFFFF" w:sz="0"/>
              <w:left w:val="none" w:color="FFFFFF" w:sz="0"/>
              <w:bottom w:val="none" w:color="FFFFFF" w:sz="0"/>
              <w:right w:val="none" w:color="FFFFFF" w:sz="0"/>
            </w:tcBorders>
            <w:shd w:fill="1A56DB" w:val="clear"/>
            <w:tcMar>
              <w:top w:type="dxa" w:w="40"/>
              <w:left w:type="dxa" w:w="0"/>
              <w:bottom w:type="dxa" w:w="40"/>
              <w:right w:type="dxa" w:w="0"/>
            </w:tcMar>
          </w:tcPr>
          <w:p>
            <w:r>
              <w:t xml:space="preserve"/>
            </w:r>
          </w:p>
        </w:tc>
        <w:tc>
          <w:tcPr>
            <w:tcW w:type="dxa" w:w="420"/>
            <w:tcBorders>
              <w:top w:val="none" w:color="FFFFFF" w:sz="0"/>
              <w:left w:val="none" w:color="FFFFFF" w:sz="0"/>
              <w:bottom w:val="none" w:color="FFFFFF" w:sz="0"/>
              <w:right w:val="none" w:color="FFFFFF" w:sz="0"/>
            </w:tcBorders>
            <w:shd w:fill="1A56DB" w:val="clear"/>
            <w:tcMar>
              <w:top w:type="dxa" w:w="40"/>
              <w:left w:type="dxa" w:w="0"/>
              <w:bottom w:type="dxa" w:w="40"/>
              <w:right w:type="dxa" w:w="0"/>
            </w:tcMar>
          </w:tcPr>
          <w:p>
            <w:r>
              <w:t xml:space="preserve"/>
            </w:r>
          </w:p>
        </w:tc>
        <w:tc>
          <w:tcPr>
            <w:tcW w:type="dxa" w:w="420"/>
            <w:tcBorders>
              <w:top w:val="none" w:color="FFFFFF" w:sz="0"/>
              <w:left w:val="none" w:color="FFFFFF" w:sz="0"/>
              <w:bottom w:val="none" w:color="FFFFFF" w:sz="0"/>
              <w:right w:val="none" w:color="FFFFFF" w:sz="0"/>
            </w:tcBorders>
            <w:shd w:fill="1A56DB" w:val="clear"/>
            <w:tcMar>
              <w:top w:type="dxa" w:w="40"/>
              <w:left w:type="dxa" w:w="0"/>
              <w:bottom w:type="dxa" w:w="40"/>
              <w:right w:type="dxa" w:w="0"/>
            </w:tcMar>
          </w:tcPr>
          <w:p>
            <w:r>
              <w:t xml:space="preserve"/>
            </w:r>
          </w:p>
        </w:tc>
        <w:tc>
          <w:tcPr>
            <w:tcW w:type="dxa" w:w="420"/>
            <w:tcBorders>
              <w:top w:val="none" w:color="FFFFFF" w:sz="0"/>
              <w:left w:val="none" w:color="FFFFFF" w:sz="0"/>
              <w:bottom w:val="none" w:color="FFFFFF" w:sz="0"/>
              <w:right w:val="none" w:color="FFFFFF" w:sz="0"/>
            </w:tcBorders>
            <w:shd w:fill="1A56DB" w:val="clear"/>
            <w:tcMar>
              <w:top w:type="dxa" w:w="40"/>
              <w:left w:type="dxa" w:w="0"/>
              <w:bottom w:type="dxa" w:w="40"/>
              <w:right w:type="dxa" w:w="0"/>
            </w:tcMar>
          </w:tcPr>
          <w:p>
            <w:r>
              <w:t xml:space="preserve"/>
            </w:r>
          </w:p>
        </w:tc>
        <w:tc>
          <w:tcPr>
            <w:tcW w:type="dxa" w:w="420"/>
            <w:tcBorders>
              <w:top w:val="none" w:color="FFFFFF" w:sz="0"/>
              <w:left w:val="none" w:color="FFFFFF" w:sz="0"/>
              <w:bottom w:val="none" w:color="FFFFFF" w:sz="0"/>
              <w:right w:val="none" w:color="FFFFFF" w:sz="0"/>
            </w:tcBorders>
            <w:shd w:fill="1A56DB" w:val="clear"/>
            <w:tcMar>
              <w:top w:type="dxa" w:w="40"/>
              <w:left w:type="dxa" w:w="0"/>
              <w:bottom w:type="dxa" w:w="40"/>
              <w:right w:type="dxa" w:w="0"/>
            </w:tcMar>
          </w:tcPr>
          <w:p>
            <w:r>
              <w:t xml:space="preserve"/>
            </w:r>
          </w:p>
        </w:tc>
        <w:tc>
          <w:tcPr>
            <w:tcW w:type="dxa" w:w="420"/>
            <w:tcBorders>
              <w:top w:val="none" w:color="FFFFFF" w:sz="0"/>
              <w:left w:val="none" w:color="FFFFFF" w:sz="0"/>
              <w:bottom w:val="none" w:color="FFFFFF" w:sz="0"/>
              <w:right w:val="none" w:color="FFFFFF" w:sz="0"/>
            </w:tcBorders>
            <w:shd w:fill="1A56DB" w:val="clear"/>
            <w:tcMar>
              <w:top w:type="dxa" w:w="40"/>
              <w:left w:type="dxa" w:w="0"/>
              <w:bottom w:type="dxa" w:w="40"/>
              <w:right w:type="dxa" w:w="0"/>
            </w:tcMar>
          </w:tcPr>
          <w:p>
            <w:r>
              <w:t xml:space="preserve"/>
            </w:r>
          </w:p>
        </w:tc>
        <w:tc>
          <w:tcPr>
            <w:tcW w:type="dxa" w:w="420"/>
            <w:tcBorders>
              <w:top w:val="none" w:color="FFFFFF" w:sz="0"/>
              <w:left w:val="none" w:color="FFFFFF" w:sz="0"/>
              <w:bottom w:val="none" w:color="FFFFFF" w:sz="0"/>
              <w:right w:val="none" w:color="FFFFFF" w:sz="0"/>
            </w:tcBorders>
            <w:shd w:fill="1A56DB" w:val="clear"/>
            <w:tcMar>
              <w:top w:type="dxa" w:w="40"/>
              <w:left w:type="dxa" w:w="0"/>
              <w:bottom w:type="dxa" w:w="40"/>
              <w:right w:type="dxa" w:w="0"/>
            </w:tcMar>
          </w:tcPr>
          <w:p>
            <w:r>
              <w:t xml:space="preserve"/>
            </w:r>
          </w:p>
        </w:tc>
        <w:tc>
          <w:tcPr>
            <w:tcW w:type="dxa" w:w="420"/>
            <w:tcBorders>
              <w:top w:val="none" w:color="FFFFFF" w:sz="0"/>
              <w:left w:val="none" w:color="FFFFFF" w:sz="0"/>
              <w:bottom w:val="none" w:color="FFFFFF" w:sz="0"/>
              <w:right w:val="none" w:color="FFFFFF" w:sz="0"/>
            </w:tcBorders>
            <w:shd w:fill="1A56DB" w:val="clear"/>
            <w:tcMar>
              <w:top w:type="dxa" w:w="40"/>
              <w:left w:type="dxa" w:w="0"/>
              <w:bottom w:type="dxa" w:w="40"/>
              <w:right w:type="dxa" w:w="0"/>
            </w:tcMar>
          </w:tcPr>
          <w:p>
            <w:r>
              <w:t xml:space="preserve"/>
            </w:r>
          </w:p>
        </w:tc>
        <w:tc>
          <w:tcPr>
            <w:tcW w:type="dxa" w:w="420"/>
            <w:tcBorders>
              <w:top w:val="none" w:color="FFFFFF" w:sz="0"/>
              <w:left w:val="none" w:color="FFFFFF" w:sz="0"/>
              <w:bottom w:val="none" w:color="FFFFFF" w:sz="0"/>
              <w:right w:val="none" w:color="FFFFFF" w:sz="0"/>
            </w:tcBorders>
            <w:shd w:fill="1A56DB" w:val="clear"/>
            <w:tcMar>
              <w:top w:type="dxa" w:w="40"/>
              <w:left w:type="dxa" w:w="0"/>
              <w:bottom w:type="dxa" w:w="40"/>
              <w:right w:type="dxa" w:w="0"/>
            </w:tcMar>
          </w:tcPr>
          <w:p>
            <w:r>
              <w:t xml:space="preserve"/>
            </w:r>
          </w:p>
        </w:tc>
        <w:tc>
          <w:tcPr>
            <w:tcW w:type="dxa" w:w="420"/>
            <w:tcBorders>
              <w:top w:val="none" w:color="FFFFFF" w:sz="0"/>
              <w:left w:val="none" w:color="FFFFFF" w:sz="0"/>
              <w:bottom w:val="none" w:color="FFFFFF" w:sz="0"/>
              <w:right w:val="none" w:color="FFFFFF" w:sz="0"/>
            </w:tcBorders>
            <w:shd w:fill="1A56DB" w:val="clear"/>
            <w:tcMar>
              <w:top w:type="dxa" w:w="40"/>
              <w:left w:type="dxa" w:w="0"/>
              <w:bottom w:type="dxa" w:w="40"/>
              <w:right w:type="dxa" w:w="0"/>
            </w:tcMar>
          </w:tcPr>
          <w:p>
            <w:r>
              <w:t xml:space="preserve"/>
            </w:r>
          </w:p>
        </w:tc>
        <w:tc>
          <w:tcPr>
            <w:tcW w:type="dxa" w:w="420"/>
            <w:tcBorders>
              <w:top w:val="none" w:color="FFFFFF" w:sz="0"/>
              <w:left w:val="none" w:color="FFFFFF" w:sz="0"/>
              <w:bottom w:val="none" w:color="FFFFFF" w:sz="0"/>
              <w:right w:val="none" w:color="FFFFFF" w:sz="0"/>
            </w:tcBorders>
            <w:shd w:fill="1A56DB" w:val="clear"/>
            <w:tcMar>
              <w:top w:type="dxa" w:w="40"/>
              <w:left w:type="dxa" w:w="0"/>
              <w:bottom w:type="dxa" w:w="40"/>
              <w:right w:type="dxa" w:w="0"/>
            </w:tcMar>
          </w:tcPr>
          <w:p>
            <w:r>
              <w:t xml:space="preserve"/>
            </w:r>
          </w:p>
        </w:tc>
        <w:tc>
          <w:tcPr>
            <w:tcW w:type="dxa" w:w="420"/>
            <w:tcBorders>
              <w:top w:val="none" w:color="FFFFFF" w:sz="0"/>
              <w:left w:val="none" w:color="FFFFFF" w:sz="0"/>
              <w:bottom w:val="none" w:color="FFFFFF" w:sz="0"/>
              <w:right w:val="none" w:color="FFFFFF" w:sz="0"/>
            </w:tcBorders>
            <w:shd w:fill="DBEAFE" w:val="clear"/>
            <w:tcMar>
              <w:top w:type="dxa" w:w="40"/>
              <w:left w:type="dxa" w:w="0"/>
              <w:bottom w:type="dxa" w:w="40"/>
              <w:right w:type="dxa" w:w="0"/>
            </w:tcMar>
          </w:tcPr>
          <w:p>
            <w:r>
              <w:t xml:space="preserve"/>
            </w:r>
          </w:p>
        </w:tc>
        <w:tc>
          <w:tcPr>
            <w:tcW w:type="dxa" w:w="420"/>
            <w:tcBorders>
              <w:top w:val="none" w:color="FFFFFF" w:sz="0"/>
              <w:left w:val="none" w:color="FFFFFF" w:sz="0"/>
              <w:bottom w:val="none" w:color="FFFFFF" w:sz="0"/>
              <w:right w:val="none" w:color="FFFFFF" w:sz="0"/>
            </w:tcBorders>
            <w:shd w:fill="DBEAFE" w:val="clear"/>
            <w:tcMar>
              <w:top w:type="dxa" w:w="40"/>
              <w:left w:type="dxa" w:w="0"/>
              <w:bottom w:type="dxa" w:w="40"/>
              <w:right w:type="dxa" w:w="0"/>
            </w:tcMar>
          </w:tcPr>
          <w:p>
            <w:r>
              <w:t xml:space="preserve"/>
            </w:r>
          </w:p>
        </w:tc>
        <w:tc>
          <w:tcPr>
            <w:tcW w:type="dxa" w:w="420"/>
            <w:tcBorders>
              <w:top w:val="none" w:color="FFFFFF" w:sz="0"/>
              <w:left w:val="none" w:color="FFFFFF" w:sz="0"/>
              <w:bottom w:val="none" w:color="FFFFFF" w:sz="0"/>
              <w:right w:val="none" w:color="FFFFFF" w:sz="0"/>
            </w:tcBorders>
            <w:shd w:fill="DBEAFE" w:val="clear"/>
            <w:tcMar>
              <w:top w:type="dxa" w:w="40"/>
              <w:left w:type="dxa" w:w="0"/>
              <w:bottom w:type="dxa" w:w="40"/>
              <w:right w:type="dxa" w:w="0"/>
            </w:tcMar>
          </w:tcPr>
          <w:p>
            <w:r>
              <w:t xml:space="preserve"/>
            </w:r>
          </w:p>
        </w:tc>
      </w:tr>
    </w:tbl>
    <w:p>
      <w:pPr>
        <w:spacing w:after="0" w:before="80"/>
      </w:pPr>
      <w:r>
        <w:rPr>
          <w:rFonts w:ascii="Arial" w:cs="Arial" w:eastAsia="Arial" w:hAnsi="Arial"/>
          <w:i/>
          <w:iCs/>
          <w:color w:val="6B7280"/>
          <w:sz w:val="18"/>
          <w:szCs w:val="18"/>
        </w:rPr>
        <w:t xml:space="preserve">Core product built • End-to-end tested • Final launch hardening underway</w:t>
      </w:r>
    </w:p>
    <w:p>
      <w:pPr>
        <w:spacing w:after="320" w:before="0"/>
      </w:pPr>
      <w:r>
        <w:t xml:space="preserve"/>
      </w:r>
    </w:p>
    <w:p>
      <w:pPr>
        <w:pBdr>
          <w:bottom w:val="single" w:color="E5E7EB" w:sz="4" w:space="1"/>
        </w:pBdr>
        <w:spacing w:after="200" w:before="200"/>
      </w:pPr>
      <w:r>
        <w:t xml:space="preserve"/>
      </w:r>
    </w:p>
    <w:p>
      <w:pPr>
        <w:pStyle w:val="Heading1"/>
        <w:spacing w:after="120" w:before="360"/>
      </w:pPr>
      <w:r>
        <w:rPr>
          <w:rFonts w:ascii="Arial" w:cs="Arial" w:eastAsia="Arial" w:hAnsi="Arial"/>
          <w:b/>
          <w:bCs/>
          <w:color w:val="1A56DB"/>
          <w:sz w:val="36"/>
          <w:szCs w:val="36"/>
        </w:rPr>
        <w:t xml:space="preserve">What Is Complete</w:t>
      </w:r>
    </w:p>
    <w:p>
      <w:pPr>
        <w:spacing w:after="100" w:before="60"/>
      </w:pPr>
      <w:r>
        <w:rPr>
          <w:rFonts w:ascii="Arial" w:cs="Arial" w:eastAsia="Arial" w:hAnsi="Arial"/>
          <w:b w:val="false"/>
          <w:bCs w:val="false"/>
          <w:i w:val="false"/>
          <w:iCs w:val="false"/>
          <w:color w:val="111827"/>
          <w:sz w:val="22"/>
          <w:szCs w:val="22"/>
        </w:rPr>
        <w:t xml:space="preserve">The full buyer-to-vendor-to-admin loop is working. Here is a summary of what has been built and verified:</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E5E7EB" w:sz="1"/>
              <w:left w:val="single" w:color="E5E7EB" w:sz="1"/>
              <w:bottom w:val="single" w:color="E5E7EB" w:sz="1"/>
              <w:right w:val="single" w:color="E5E7EB" w:sz="1"/>
            </w:tcBorders>
            <w:shd w:fill="EBF0FF" w:val="clear"/>
            <w:tcMar>
              <w:top w:type="dxa" w:w="100"/>
              <w:left w:type="dxa" w:w="140"/>
              <w:bottom w:type="dxa" w:w="100"/>
              <w:right w:type="dxa" w:w="140"/>
            </w:tcMar>
          </w:tcPr>
          <w:p>
            <w:r>
              <w:rPr>
                <w:rFonts w:ascii="Arial" w:cs="Arial" w:eastAsia="Arial" w:hAnsi="Arial"/>
                <w:b/>
                <w:bCs/>
                <w:color w:val="111827"/>
                <w:sz w:val="22"/>
                <w:szCs w:val="22"/>
              </w:rPr>
              <w:t xml:space="preserve">Feature / Area</w:t>
            </w:r>
          </w:p>
        </w:tc>
        <w:tc>
          <w:tcPr>
            <w:tcW w:type="dxa" w:w="3960"/>
            <w:tcBorders>
              <w:top w:val="single" w:color="E5E7EB" w:sz="1"/>
              <w:left w:val="single" w:color="E5E7EB" w:sz="1"/>
              <w:bottom w:val="single" w:color="E5E7EB" w:sz="1"/>
              <w:right w:val="single" w:color="E5E7EB" w:sz="1"/>
            </w:tcBorders>
            <w:shd w:fill="EBF0FF" w:val="clear"/>
            <w:tcMar>
              <w:top w:type="dxa" w:w="100"/>
              <w:left w:type="dxa" w:w="140"/>
              <w:bottom w:type="dxa" w:w="100"/>
              <w:right w:type="dxa" w:w="140"/>
            </w:tcMar>
          </w:tcPr>
          <w:p>
            <w:pPr>
              <w:jc w:val="center"/>
            </w:pPr>
            <w:r>
              <w:rPr>
                <w:rFonts w:ascii="Arial" w:cs="Arial" w:eastAsia="Arial" w:hAnsi="Arial"/>
                <w:b/>
                <w:bCs/>
                <w:color w:val="111827"/>
                <w:sz w:val="22"/>
                <w:szCs w:val="22"/>
              </w:rPr>
              <w:t xml:space="preserve">Status</w:t>
            </w:r>
          </w:p>
        </w:tc>
      </w:tr>
      <w:tr>
        <w:tc>
          <w:tcPr>
            <w:tcW w:type="dxa" w:w="54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11827"/>
                <w:sz w:val="22"/>
                <w:szCs w:val="22"/>
              </w:rPr>
              <w:t xml:space="preserve">Buyer sign-up and login</w:t>
            </w:r>
          </w:p>
        </w:tc>
        <w:tc>
          <w:tcPr>
            <w:tcW w:type="dxa" w:w="396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jc w:val="center"/>
            </w:pPr>
            <w:r>
              <w:rPr>
                <w:rFonts w:ascii="Arial" w:cs="Arial" w:eastAsia="Arial" w:hAnsi="Arial"/>
                <w:b/>
                <w:bCs/>
                <w:color w:val="15803D"/>
                <w:sz w:val="20"/>
                <w:szCs w:val="20"/>
              </w:rPr>
              <w:t xml:space="preserve">✓ Complete</w:t>
            </w:r>
          </w:p>
        </w:tc>
      </w:tr>
      <w:tr>
        <w:tc>
          <w:tcPr>
            <w:tcW w:type="dxa" w:w="54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11827"/>
                <w:sz w:val="22"/>
                <w:szCs w:val="22"/>
              </w:rPr>
              <w:t xml:space="preserve">Buyer cart and checkout</w:t>
            </w:r>
          </w:p>
        </w:tc>
        <w:tc>
          <w:tcPr>
            <w:tcW w:type="dxa" w:w="396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jc w:val="center"/>
            </w:pPr>
            <w:r>
              <w:rPr>
                <w:rFonts w:ascii="Arial" w:cs="Arial" w:eastAsia="Arial" w:hAnsi="Arial"/>
                <w:b/>
                <w:bCs/>
                <w:color w:val="15803D"/>
                <w:sz w:val="20"/>
                <w:szCs w:val="20"/>
              </w:rPr>
              <w:t xml:space="preserve">✓ Complete</w:t>
            </w:r>
          </w:p>
        </w:tc>
      </w:tr>
      <w:tr>
        <w:tc>
          <w:tcPr>
            <w:tcW w:type="dxa" w:w="54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11827"/>
                <w:sz w:val="22"/>
                <w:szCs w:val="22"/>
              </w:rPr>
              <w:t xml:space="preserve">Stripe payment integration</w:t>
            </w:r>
          </w:p>
        </w:tc>
        <w:tc>
          <w:tcPr>
            <w:tcW w:type="dxa" w:w="396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jc w:val="center"/>
            </w:pPr>
            <w:r>
              <w:rPr>
                <w:rFonts w:ascii="Arial" w:cs="Arial" w:eastAsia="Arial" w:hAnsi="Arial"/>
                <w:b/>
                <w:bCs/>
                <w:color w:val="15803D"/>
                <w:sz w:val="20"/>
                <w:szCs w:val="20"/>
              </w:rPr>
              <w:t xml:space="preserve">✓ Complete</w:t>
            </w:r>
          </w:p>
        </w:tc>
      </w:tr>
      <w:tr>
        <w:tc>
          <w:tcPr>
            <w:tcW w:type="dxa" w:w="54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11827"/>
                <w:sz w:val="22"/>
                <w:szCs w:val="22"/>
              </w:rPr>
              <w:t xml:space="preserve">Order tracking with live updates</w:t>
            </w:r>
          </w:p>
        </w:tc>
        <w:tc>
          <w:tcPr>
            <w:tcW w:type="dxa" w:w="396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jc w:val="center"/>
            </w:pPr>
            <w:r>
              <w:rPr>
                <w:rFonts w:ascii="Arial" w:cs="Arial" w:eastAsia="Arial" w:hAnsi="Arial"/>
                <w:b/>
                <w:bCs/>
                <w:color w:val="15803D"/>
                <w:sz w:val="20"/>
                <w:szCs w:val="20"/>
              </w:rPr>
              <w:t xml:space="preserve">✓ Complete</w:t>
            </w:r>
          </w:p>
        </w:tc>
      </w:tr>
      <w:tr>
        <w:tc>
          <w:tcPr>
            <w:tcW w:type="dxa" w:w="54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11827"/>
                <w:sz w:val="22"/>
                <w:szCs w:val="22"/>
              </w:rPr>
              <w:t xml:space="preserve">Vendor dashboard and order management</w:t>
            </w:r>
          </w:p>
        </w:tc>
        <w:tc>
          <w:tcPr>
            <w:tcW w:type="dxa" w:w="396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jc w:val="center"/>
            </w:pPr>
            <w:r>
              <w:rPr>
                <w:rFonts w:ascii="Arial" w:cs="Arial" w:eastAsia="Arial" w:hAnsi="Arial"/>
                <w:b/>
                <w:bCs/>
                <w:color w:val="15803D"/>
                <w:sz w:val="20"/>
                <w:szCs w:val="20"/>
              </w:rPr>
              <w:t xml:space="preserve">✓ Complete</w:t>
            </w:r>
          </w:p>
        </w:tc>
      </w:tr>
      <w:tr>
        <w:tc>
          <w:tcPr>
            <w:tcW w:type="dxa" w:w="54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11827"/>
                <w:sz w:val="22"/>
                <w:szCs w:val="22"/>
              </w:rPr>
              <w:t xml:space="preserve">Vendor Stripe onboarding</w:t>
            </w:r>
          </w:p>
        </w:tc>
        <w:tc>
          <w:tcPr>
            <w:tcW w:type="dxa" w:w="396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jc w:val="center"/>
            </w:pPr>
            <w:r>
              <w:rPr>
                <w:rFonts w:ascii="Arial" w:cs="Arial" w:eastAsia="Arial" w:hAnsi="Arial"/>
                <w:b/>
                <w:bCs/>
                <w:color w:val="15803D"/>
                <w:sz w:val="20"/>
                <w:szCs w:val="20"/>
              </w:rPr>
              <w:t xml:space="preserve">✓ Complete</w:t>
            </w:r>
          </w:p>
        </w:tc>
      </w:tr>
      <w:tr>
        <w:tc>
          <w:tcPr>
            <w:tcW w:type="dxa" w:w="54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11827"/>
                <w:sz w:val="22"/>
                <w:szCs w:val="22"/>
              </w:rPr>
              <w:t xml:space="preserve">Admin dashboard and metrics</w:t>
            </w:r>
          </w:p>
        </w:tc>
        <w:tc>
          <w:tcPr>
            <w:tcW w:type="dxa" w:w="396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jc w:val="center"/>
            </w:pPr>
            <w:r>
              <w:rPr>
                <w:rFonts w:ascii="Arial" w:cs="Arial" w:eastAsia="Arial" w:hAnsi="Arial"/>
                <w:b/>
                <w:bCs/>
                <w:color w:val="15803D"/>
                <w:sz w:val="20"/>
                <w:szCs w:val="20"/>
              </w:rPr>
              <w:t xml:space="preserve">✓ Complete</w:t>
            </w:r>
          </w:p>
        </w:tc>
      </w:tr>
      <w:tr>
        <w:tc>
          <w:tcPr>
            <w:tcW w:type="dxa" w:w="54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11827"/>
                <w:sz w:val="22"/>
                <w:szCs w:val="22"/>
              </w:rPr>
              <w:t xml:space="preserve">Admin refund capability</w:t>
            </w:r>
          </w:p>
        </w:tc>
        <w:tc>
          <w:tcPr>
            <w:tcW w:type="dxa" w:w="396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jc w:val="center"/>
            </w:pPr>
            <w:r>
              <w:rPr>
                <w:rFonts w:ascii="Arial" w:cs="Arial" w:eastAsia="Arial" w:hAnsi="Arial"/>
                <w:b/>
                <w:bCs/>
                <w:color w:val="15803D"/>
                <w:sz w:val="20"/>
                <w:szCs w:val="20"/>
              </w:rPr>
              <w:t xml:space="preserve">✓ Complete</w:t>
            </w:r>
          </w:p>
        </w:tc>
      </w:tr>
      <w:tr>
        <w:tc>
          <w:tcPr>
            <w:tcW w:type="dxa" w:w="54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11827"/>
                <w:sz w:val="22"/>
                <w:szCs w:val="22"/>
              </w:rPr>
              <w:t xml:space="preserve">Automated notifications (email / WhatsApp)</w:t>
            </w:r>
          </w:p>
        </w:tc>
        <w:tc>
          <w:tcPr>
            <w:tcW w:type="dxa" w:w="396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jc w:val="center"/>
            </w:pPr>
            <w:r>
              <w:rPr>
                <w:rFonts w:ascii="Arial" w:cs="Arial" w:eastAsia="Arial" w:hAnsi="Arial"/>
                <w:b/>
                <w:bCs/>
                <w:color w:val="15803D"/>
                <w:sz w:val="20"/>
                <w:szCs w:val="20"/>
              </w:rPr>
              <w:t xml:space="preserve">✓ Complete</w:t>
            </w:r>
          </w:p>
        </w:tc>
      </w:tr>
      <w:tr>
        <w:tc>
          <w:tcPr>
            <w:tcW w:type="dxa" w:w="54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11827"/>
                <w:sz w:val="22"/>
                <w:szCs w:val="22"/>
              </w:rPr>
              <w:t xml:space="preserve">Full audit logging</w:t>
            </w:r>
          </w:p>
        </w:tc>
        <w:tc>
          <w:tcPr>
            <w:tcW w:type="dxa" w:w="396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jc w:val="center"/>
            </w:pPr>
            <w:r>
              <w:rPr>
                <w:rFonts w:ascii="Arial" w:cs="Arial" w:eastAsia="Arial" w:hAnsi="Arial"/>
                <w:b/>
                <w:bCs/>
                <w:color w:val="15803D"/>
                <w:sz w:val="20"/>
                <w:szCs w:val="20"/>
              </w:rPr>
              <w:t xml:space="preserve">✓ Complete</w:t>
            </w:r>
          </w:p>
        </w:tc>
      </w:tr>
      <w:tr>
        <w:tc>
          <w:tcPr>
            <w:tcW w:type="dxa" w:w="54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11827"/>
                <w:sz w:val="22"/>
                <w:szCs w:val="22"/>
              </w:rPr>
              <w:t xml:space="preserve">Security and data integrity</w:t>
            </w:r>
          </w:p>
        </w:tc>
        <w:tc>
          <w:tcPr>
            <w:tcW w:type="dxa" w:w="396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jc w:val="center"/>
            </w:pPr>
            <w:r>
              <w:rPr>
                <w:rFonts w:ascii="Arial" w:cs="Arial" w:eastAsia="Arial" w:hAnsi="Arial"/>
                <w:b/>
                <w:bCs/>
                <w:color w:val="15803D"/>
                <w:sz w:val="20"/>
                <w:szCs w:val="20"/>
              </w:rPr>
              <w:t xml:space="preserve">✓ Complete</w:t>
            </w:r>
          </w:p>
        </w:tc>
      </w:tr>
    </w:tbl>
    <w:p>
      <w:pPr>
        <w:spacing w:after="320" w:before="0"/>
      </w:pPr>
      <w:r>
        <w:t xml:space="preserve"/>
      </w:r>
    </w:p>
    <w:p>
      <w:pPr>
        <w:pBdr>
          <w:bottom w:val="single" w:color="E5E7EB" w:sz="4" w:space="1"/>
        </w:pBdr>
        <w:spacing w:after="200" w:before="200"/>
      </w:pPr>
      <w:r>
        <w:t xml:space="preserve"/>
      </w:r>
    </w:p>
    <w:p>
      <w:pPr>
        <w:pStyle w:val="Heading1"/>
        <w:spacing w:after="120" w:before="360"/>
      </w:pPr>
      <w:r>
        <w:rPr>
          <w:rFonts w:ascii="Arial" w:cs="Arial" w:eastAsia="Arial" w:hAnsi="Arial"/>
          <w:b/>
          <w:bCs/>
          <w:color w:val="1A56DB"/>
          <w:sz w:val="36"/>
          <w:szCs w:val="36"/>
        </w:rPr>
        <w:t xml:space="preserve">What Remains Before Launch</w:t>
      </w:r>
    </w:p>
    <w:p>
      <w:pPr>
        <w:spacing w:after="100" w:before="60"/>
      </w:pPr>
      <w:r>
        <w:rPr>
          <w:rFonts w:ascii="Arial" w:cs="Arial" w:eastAsia="Arial" w:hAnsi="Arial"/>
          <w:b w:val="false"/>
          <w:bCs w:val="false"/>
          <w:i w:val="false"/>
          <w:iCs w:val="false"/>
          <w:color w:val="111827"/>
          <w:sz w:val="22"/>
          <w:szCs w:val="22"/>
        </w:rPr>
        <w:t xml:space="preserve">The remaining work is focused on hardening, testing, and operational readiness — not new feature development. The core product is done. What we are completing now ensures it is safe and reliable for real payments and real customers.</w:t>
      </w:r>
    </w:p>
    <w:p>
      <w:pPr>
        <w:spacing w:after="160" w:before="0"/>
      </w:pPr>
      <w:r>
        <w:t xml:space="preserve"/>
      </w:r>
    </w:p>
    <w:p>
      <w:pPr>
        <w:pStyle w:val="ListParagraph"/>
        <w:numPr>
          <w:ilvl w:val="0"/>
          <w:numId w:val="2"/>
        </w:numPr>
        <w:spacing w:after="40" w:before="40"/>
      </w:pPr>
      <w:r>
        <w:rPr>
          <w:rFonts w:ascii="Arial" w:cs="Arial" w:eastAsia="Arial" w:hAnsi="Arial"/>
          <w:color w:val="111827"/>
          <w:sz w:val="22"/>
          <w:szCs w:val="22"/>
        </w:rPr>
        <w:t xml:space="preserve">Final security and auth review across all user roles</w:t>
      </w:r>
    </w:p>
    <w:p>
      <w:pPr>
        <w:pStyle w:val="ListParagraph"/>
        <w:numPr>
          <w:ilvl w:val="0"/>
          <w:numId w:val="2"/>
        </w:numPr>
        <w:spacing w:after="40" w:before="40"/>
      </w:pPr>
      <w:r>
        <w:rPr>
          <w:rFonts w:ascii="Arial" w:cs="Arial" w:eastAsia="Arial" w:hAnsi="Arial"/>
          <w:color w:val="111827"/>
          <w:sz w:val="22"/>
          <w:szCs w:val="22"/>
        </w:rPr>
        <w:t xml:space="preserve">End-to-end payment and payout verification in live mode</w:t>
      </w:r>
    </w:p>
    <w:p>
      <w:pPr>
        <w:pStyle w:val="ListParagraph"/>
        <w:numPr>
          <w:ilvl w:val="0"/>
          <w:numId w:val="2"/>
        </w:numPr>
        <w:spacing w:after="40" w:before="40"/>
      </w:pPr>
      <w:r>
        <w:rPr>
          <w:rFonts w:ascii="Arial" w:cs="Arial" w:eastAsia="Arial" w:hAnsi="Arial"/>
          <w:color w:val="111827"/>
          <w:sz w:val="22"/>
          <w:szCs w:val="22"/>
        </w:rPr>
        <w:t xml:space="preserve">Automated smoke test suite for deployed environments</w:t>
      </w:r>
    </w:p>
    <w:p>
      <w:pPr>
        <w:pStyle w:val="ListParagraph"/>
        <w:numPr>
          <w:ilvl w:val="0"/>
          <w:numId w:val="2"/>
        </w:numPr>
        <w:spacing w:after="40" w:before="40"/>
      </w:pPr>
      <w:r>
        <w:rPr>
          <w:rFonts w:ascii="Arial" w:cs="Arial" w:eastAsia="Arial" w:hAnsi="Arial"/>
          <w:color w:val="111827"/>
          <w:sz w:val="22"/>
          <w:szCs w:val="22"/>
        </w:rPr>
        <w:t xml:space="preserve">Operational monitoring and alerting setup</w:t>
      </w:r>
    </w:p>
    <w:p>
      <w:pPr>
        <w:pStyle w:val="ListParagraph"/>
        <w:numPr>
          <w:ilvl w:val="0"/>
          <w:numId w:val="2"/>
        </w:numPr>
        <w:spacing w:after="40" w:before="40"/>
      </w:pPr>
      <w:r>
        <w:rPr>
          <w:rFonts w:ascii="Arial" w:cs="Arial" w:eastAsia="Arial" w:hAnsi="Arial"/>
          <w:color w:val="111827"/>
          <w:sz w:val="22"/>
          <w:szCs w:val="22"/>
        </w:rPr>
        <w:t xml:space="preserve">Launch checklist completion and go-live sign-off</w:t>
      </w:r>
    </w:p>
    <w:p>
      <w:pPr>
        <w:spacing w:after="320" w:before="0"/>
      </w:pPr>
      <w:r>
        <w:t xml:space="preserve"/>
      </w:r>
    </w:p>
    <w:p>
      <w:pPr>
        <w:pBdr>
          <w:bottom w:val="single" w:color="E5E7EB" w:sz="4" w:space="1"/>
        </w:pBdr>
        <w:spacing w:after="200" w:before="200"/>
      </w:pPr>
      <w:r>
        <w:t xml:space="preserve"/>
      </w:r>
    </w:p>
    <w:p>
      <w:pPr>
        <w:pStyle w:val="Heading1"/>
        <w:spacing w:after="120" w:before="360"/>
      </w:pPr>
      <w:r>
        <w:rPr>
          <w:rFonts w:ascii="Arial" w:cs="Arial" w:eastAsia="Arial" w:hAnsi="Arial"/>
          <w:b/>
          <w:bCs/>
          <w:color w:val="1A56DB"/>
          <w:sz w:val="36"/>
          <w:szCs w:val="36"/>
        </w:rPr>
        <w:t xml:space="preserve">What Comes Next: Your Priorities</w:t>
      </w:r>
    </w:p>
    <w:p>
      <w:pPr>
        <w:spacing w:after="100" w:before="60"/>
      </w:pPr>
      <w:r>
        <w:rPr>
          <w:rFonts w:ascii="Arial" w:cs="Arial" w:eastAsia="Arial" w:hAnsi="Arial"/>
          <w:b w:val="false"/>
          <w:bCs w:val="false"/>
          <w:i w:val="false"/>
          <w:iCs w:val="false"/>
          <w:color w:val="111827"/>
          <w:sz w:val="22"/>
          <w:szCs w:val="22"/>
        </w:rPr>
        <w:t xml:space="preserve">Once the MVP launches, the roadmap opens up. With the core product stable, we can turn our full attention to the improvements and features that matter most to you.</w:t>
      </w:r>
    </w:p>
    <w:p>
      <w:pPr>
        <w:spacing w:after="160" w:before="0"/>
      </w:pPr>
      <w:r>
        <w:t xml:space="preserve"/>
      </w:r>
    </w:p>
    <w:p>
      <w:pPr>
        <w:spacing w:after="100" w:before="60"/>
      </w:pPr>
      <w:r>
        <w:rPr>
          <w:rFonts w:ascii="Arial" w:cs="Arial" w:eastAsia="Arial" w:hAnsi="Arial"/>
          <w:b w:val="false"/>
          <w:bCs w:val="false"/>
          <w:i w:val="false"/>
          <w:iCs w:val="false"/>
          <w:color w:val="111827"/>
          <w:sz w:val="22"/>
          <w:szCs w:val="22"/>
        </w:rPr>
        <w:t xml:space="preserve">This is the phase where client-driven priorities take centre stage. Examples of what can be addressed after launch:</w:t>
      </w:r>
    </w:p>
    <w:p>
      <w:pPr>
        <w:spacing w:after="160" w:before="0"/>
      </w:pPr>
      <w:r>
        <w:t xml:space="preserve"/>
      </w:r>
    </w:p>
    <w:p>
      <w:pPr>
        <w:pStyle w:val="ListParagraph"/>
        <w:numPr>
          <w:ilvl w:val="0"/>
          <w:numId w:val="2"/>
        </w:numPr>
        <w:spacing w:after="40" w:before="40"/>
      </w:pPr>
      <w:r>
        <w:rPr>
          <w:rFonts w:ascii="Arial" w:cs="Arial" w:eastAsia="Arial" w:hAnsi="Arial"/>
          <w:color w:val="111827"/>
          <w:sz w:val="22"/>
          <w:szCs w:val="22"/>
        </w:rPr>
        <w:t xml:space="preserve">UI / UX refinements — visual polish, layout improvements, better mobile experience</w:t>
      </w:r>
    </w:p>
    <w:p>
      <w:pPr>
        <w:pStyle w:val="ListParagraph"/>
        <w:numPr>
          <w:ilvl w:val="0"/>
          <w:numId w:val="2"/>
        </w:numPr>
        <w:spacing w:after="40" w:before="40"/>
      </w:pPr>
      <w:r>
        <w:rPr>
          <w:rFonts w:ascii="Arial" w:cs="Arial" w:eastAsia="Arial" w:hAnsi="Arial"/>
          <w:color w:val="111827"/>
          <w:sz w:val="22"/>
          <w:szCs w:val="22"/>
        </w:rPr>
        <w:t xml:space="preserve">Frontend tweaks — adjusting flows, copy, and interactions based on real user feedback</w:t>
      </w:r>
    </w:p>
    <w:p>
      <w:pPr>
        <w:pStyle w:val="ListParagraph"/>
        <w:numPr>
          <w:ilvl w:val="0"/>
          <w:numId w:val="2"/>
        </w:numPr>
        <w:spacing w:after="40" w:before="40"/>
      </w:pPr>
      <w:r>
        <w:rPr>
          <w:rFonts w:ascii="Arial" w:cs="Arial" w:eastAsia="Arial" w:hAnsi="Arial"/>
          <w:color w:val="111827"/>
          <w:sz w:val="22"/>
          <w:szCs w:val="22"/>
        </w:rPr>
        <w:t xml:space="preserve">Buyer-facing improvements — order history, profile management, account features</w:t>
      </w:r>
    </w:p>
    <w:p>
      <w:pPr>
        <w:pStyle w:val="ListParagraph"/>
        <w:numPr>
          <w:ilvl w:val="0"/>
          <w:numId w:val="2"/>
        </w:numPr>
        <w:spacing w:after="40" w:before="40"/>
      </w:pPr>
      <w:r>
        <w:rPr>
          <w:rFonts w:ascii="Arial" w:cs="Arial" w:eastAsia="Arial" w:hAnsi="Arial"/>
          <w:color w:val="111827"/>
          <w:sz w:val="22"/>
          <w:szCs w:val="22"/>
        </w:rPr>
        <w:t xml:space="preserve">Vendor tooling — better search, filtering, and reporting as order volume grows</w:t>
      </w:r>
    </w:p>
    <w:p>
      <w:pPr>
        <w:pStyle w:val="ListParagraph"/>
        <w:numPr>
          <w:ilvl w:val="0"/>
          <w:numId w:val="2"/>
        </w:numPr>
        <w:spacing w:after="40" w:before="40"/>
      </w:pPr>
      <w:r>
        <w:rPr>
          <w:rFonts w:ascii="Arial" w:cs="Arial" w:eastAsia="Arial" w:hAnsi="Arial"/>
          <w:color w:val="111827"/>
          <w:sz w:val="22"/>
          <w:szCs w:val="22"/>
        </w:rPr>
        <w:t xml:space="preserve">Analytics and reporting — richer dashboards and financial summaries</w:t>
      </w:r>
    </w:p>
    <w:p>
      <w:pPr>
        <w:pStyle w:val="ListParagraph"/>
        <w:numPr>
          <w:ilvl w:val="0"/>
          <w:numId w:val="2"/>
        </w:numPr>
        <w:spacing w:after="40" w:before="40"/>
      </w:pPr>
      <w:r>
        <w:rPr>
          <w:rFonts w:ascii="Arial" w:cs="Arial" w:eastAsia="Arial" w:hAnsi="Arial"/>
          <w:color w:val="111827"/>
          <w:sz w:val="22"/>
          <w:szCs w:val="22"/>
        </w:rPr>
        <w:t xml:space="preserve">Social login — Google and Apple SSO for buyers</w:t>
      </w:r>
    </w:p>
    <w:p>
      <w:pPr>
        <w:pStyle w:val="ListParagraph"/>
        <w:numPr>
          <w:ilvl w:val="0"/>
          <w:numId w:val="2"/>
        </w:numPr>
        <w:spacing w:after="40" w:before="40"/>
      </w:pPr>
      <w:r>
        <w:rPr>
          <w:rFonts w:ascii="Arial" w:cs="Arial" w:eastAsia="Arial" w:hAnsi="Arial"/>
          <w:color w:val="111827"/>
          <w:sz w:val="22"/>
          <w:szCs w:val="22"/>
        </w:rPr>
        <w:t xml:space="preserve">Multi-event expansion — scaling the platform beyond the initial pilot model</w:t>
      </w:r>
    </w:p>
    <w:p>
      <w:pPr>
        <w:pStyle w:val="ListParagraph"/>
        <w:numPr>
          <w:ilvl w:val="0"/>
          <w:numId w:val="2"/>
        </w:numPr>
        <w:spacing w:after="40" w:before="40"/>
      </w:pPr>
      <w:r>
        <w:rPr>
          <w:rFonts w:ascii="Arial" w:cs="Arial" w:eastAsia="Arial" w:hAnsi="Arial"/>
          <w:color w:val="111827"/>
          <w:sz w:val="22"/>
          <w:szCs w:val="22"/>
        </w:rPr>
        <w:t xml:space="preserve">Any specific features or requests you want to prioritise</w:t>
      </w:r>
    </w:p>
    <w:p>
      <w:pPr>
        <w:spacing w:after="160" w:before="0"/>
      </w:pPr>
      <w:r>
        <w:t xml:space="preserve"/>
      </w:r>
    </w:p>
    <w:p>
      <w:pPr>
        <w:spacing w:after="100" w:before="60"/>
      </w:pPr>
      <w:r>
        <w:rPr>
          <w:rFonts w:ascii="Arial" w:cs="Arial" w:eastAsia="Arial" w:hAnsi="Arial"/>
          <w:b w:val="false"/>
          <w:bCs w:val="false"/>
          <w:i/>
          <w:iCs/>
          <w:color w:val="6B7280"/>
          <w:sz w:val="22"/>
          <w:szCs w:val="22"/>
        </w:rPr>
        <w:t xml:space="preserve">We will work with you to rank these after launch based on what delivers the most value. Nothing is locked in — this is your product, and the roadmap reflects your direction.</w:t>
      </w:r>
    </w:p>
    <w:p>
      <w:pPr>
        <w:spacing w:after="320" w:before="0"/>
      </w:pPr>
      <w:r>
        <w:t xml:space="preserve"/>
      </w:r>
    </w:p>
    <w:p>
      <w:pPr>
        <w:pBdr>
          <w:bottom w:val="single" w:color="E5E7EB" w:sz="4" w:space="1"/>
        </w:pBdr>
        <w:spacing w:after="200" w:before="200"/>
      </w:pPr>
      <w:r>
        <w:t xml:space="preserve"/>
      </w:r>
    </w:p>
    <w:p>
      <w:pPr>
        <w:pStyle w:val="Heading1"/>
        <w:spacing w:after="120" w:before="360"/>
      </w:pPr>
      <w:r>
        <w:rPr>
          <w:rFonts w:ascii="Arial" w:cs="Arial" w:eastAsia="Arial" w:hAnsi="Arial"/>
          <w:b/>
          <w:bCs/>
          <w:color w:val="1A56DB"/>
          <w:sz w:val="36"/>
          <w:szCs w:val="36"/>
        </w:rPr>
        <w:t xml:space="preserve">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0FF" w:val="clear"/>
            <w:tcMar>
              <w:top w:type="dxa" w:w="200"/>
              <w:left w:type="dxa" w:w="280"/>
              <w:bottom w:type="dxa" w:w="200"/>
              <w:right w:type="dxa" w:w="280"/>
            </w:tcMar>
          </w:tcPr>
          <w:p>
            <w:pPr>
              <w:spacing w:after="80" w:before="60"/>
            </w:pPr>
            <w:r>
              <w:rPr>
                <w:rFonts w:ascii="Arial" w:cs="Arial" w:eastAsia="Arial" w:hAnsi="Arial"/>
                <w:i/>
                <w:iCs/>
                <w:color w:val="1A56DB"/>
                <w:sz w:val="22"/>
                <w:szCs w:val="22"/>
              </w:rPr>
              <w:t xml:space="preserve">“The hard part is done. We have a working product that handles real payments, real orders, and real users. What remains is making sure the launch is smooth — and then building on what you want most.”</w:t>
            </w:r>
          </w:p>
        </w:tc>
      </w:tr>
    </w:tbl>
    <w:p>
      <w:pPr>
        <w:spacing w:after="160" w:before="0"/>
      </w:pPr>
      <w:r>
        <w:t xml:space="preserve"/>
      </w:r>
    </w:p>
    <w:p>
      <w:pPr>
        <w:spacing w:after="100" w:before="60"/>
      </w:pPr>
      <w:r>
        <w:rPr>
          <w:rFonts w:ascii="Arial" w:cs="Arial" w:eastAsia="Arial" w:hAnsi="Arial"/>
          <w:b w:val="false"/>
          <w:bCs w:val="false"/>
          <w:i w:val="false"/>
          <w:iCs w:val="false"/>
          <w:color w:val="111827"/>
          <w:sz w:val="22"/>
          <w:szCs w:val="22"/>
        </w:rPr>
        <w:t xml:space="preserve">We are confident in where the project stands and excited for what comes next. If you have any questions or want to walk through anything in more detail, please do not hesitate to reach out.</w:t>
      </w:r>
    </w:p>
    <w:p>
      <w:pPr>
        <w:spacing w:after="320" w:before="0"/>
      </w:pPr>
      <w:r>
        <w:t xml:space="preserve"/>
      </w:r>
    </w:p>
    <w:p>
      <w:pPr>
        <w:spacing w:after="100" w:before="60"/>
      </w:pPr>
      <w:r>
        <w:rPr>
          <w:rFonts w:ascii="Arial" w:cs="Arial" w:eastAsia="Arial" w:hAnsi="Arial"/>
          <w:b/>
          <w:bCs/>
          <w:i w:val="false"/>
          <w:iCs w:val="false"/>
          <w:color w:val="111827"/>
          <w:sz w:val="22"/>
          <w:szCs w:val="22"/>
        </w:rPr>
        <w:t xml:space="preserve">Thank you for your continued trust and partnership.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D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2026-04-16T16:06:03.866Z</dcterms:created>
  <dcterms:modified xsi:type="dcterms:W3CDTF">2026-04-16T16:06:03.866Z</dcterms:modified>
</cp:coreProperties>
</file>

<file path=docProps/custom.xml><?xml version="1.0" encoding="utf-8"?>
<Properties xmlns="http://schemas.openxmlformats.org/officeDocument/2006/custom-properties" xmlns:vt="http://schemas.openxmlformats.org/officeDocument/2006/docPropsVTypes"/>
</file>