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Sử dụng dataset: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_ BCTC: Dữ liệu báo cáo tài chính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_ Ami price: Dữ liệu EOD giá giao dịch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Yêu cầu: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Đề 1: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Lọc những mã chứng khoán thỏa mãn tất cả điều kiện sau: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_Von_hoa: Vừa, lớn, Rất lớn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_D/E &lt;1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Nâng cao: D/E &lt;1 trong 5 năm gấn nhất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_ROE &gt; 0.1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Nâng cao: ROE &gt;0.1 trong 5 năm gần nhất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_Tăng trưởng LN HĐKD &gt; 0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Nâng cao: TT HĐKD &gt; 0 trong 5 năm gần nhất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_Dòng tiền từ HĐKD &gt; 0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Nâng cao: Dòng tiền từ HĐKD &gt;0 trong 5 năm gần nhất.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_Biên lợi nhuận hoạt động &gt;= 6%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Nâng cao: Biên LNHĐ &gt; 6% trong 5 năm liên tiếp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_P/E &lt; P/E thị trường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_Khối lượng giao dịch trung bình năm &gt;= 10.000 cp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Đề 2: (Basic):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Debt = bs_nvnh - bs_nvhd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+ D/E = Debt / bs_vcsh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+ Book_value = bs_tts - bs_tscdvh - bs_npt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+ P/B = von_hoa / Book_value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