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olor w:val="000000"/>
          <w:sz w:val="48"/>
          <w:szCs w:val="48"/>
        </w:rPr>
        <w:t xml:space="preserve">Mechanistic Interpretability:</w:t>
      </w:r>
    </w:p>
    <w:p>
      <w:pPr>
        <w:spacing w:after="160" w:before="0"/>
        <w:jc w:val="center"/>
      </w:pPr>
      <w:r>
        <w:rPr>
          <w:rFonts w:ascii="Arial" w:cs="Arial" w:eastAsia="Arial" w:hAnsi="Arial"/>
          <w:b/>
          <w:bCs/>
          <w:color w:val="000000"/>
          <w:sz w:val="28"/>
          <w:szCs w:val="28"/>
        </w:rPr>
        <w:t xml:space="preserve">Analyzing Internal Feature Changes in Pythia-160M After Python Code Fine-Tuning Using Sparse Autoencoders</w:t>
      </w:r>
    </w:p>
    <w:p>
      <w:pPr>
        <w:spacing w:after="40" w:before="0"/>
        <w:jc w:val="center"/>
      </w:pPr>
      <w:r>
        <w:rPr>
          <w:rFonts w:ascii="Arial" w:cs="Arial" w:eastAsia="Arial" w:hAnsi="Arial"/>
          <w:b/>
          <w:bCs/>
          <w:color w:val="000000"/>
          <w:sz w:val="24"/>
          <w:szCs w:val="24"/>
        </w:rPr>
        <w:t xml:space="preserve">Darsh Kuchhal</w:t>
      </w:r>
    </w:p>
    <w:p>
      <w:pPr>
        <w:spacing w:after="40" w:before="0"/>
        <w:jc w:val="center"/>
      </w:pPr>
      <w:r>
        <w:rPr>
          <w:rFonts w:ascii="Arial" w:cs="Arial" w:eastAsia="Arial" w:hAnsi="Arial"/>
          <w:i/>
          <w:iCs/>
          <w:color w:val="000000"/>
          <w:sz w:val="22"/>
          <w:szCs w:val="22"/>
        </w:rPr>
        <w:t xml:space="preserve">AIMS DTU Research Intern 2026</w:t>
      </w:r>
    </w:p>
    <w:p>
      <w:pPr>
        <w:spacing w:after="0" w:before="200"/>
      </w:pPr>
      <w:r>
        <w:t xml:space="preserve"/>
      </w:r>
    </w:p>
    <w:p>
      <w:pPr>
        <w:pBdr>
          <w:top w:val="single" w:color="000000" w:sz="4"/>
          <w:left w:val="single" w:color="000000" w:sz="4"/>
          <w:bottom w:val="single" w:color="000000" w:sz="4"/>
          <w:right w:val="single" w:color="000000" w:sz="4"/>
        </w:pBdr>
        <w:shd w:fill="EEEEEE" w:val="clear"/>
        <w:spacing w:after="0" w:before="0"/>
        <w:ind w:left="280" w:right="280"/>
      </w:pPr>
      <w:r>
        <w:rPr>
          <w:rFonts w:ascii="Arial" w:cs="Arial" w:eastAsia="Arial" w:hAnsi="Arial"/>
          <w:b/>
          <w:bCs/>
          <w:color w:val="000000"/>
          <w:sz w:val="24"/>
          <w:szCs w:val="24"/>
        </w:rPr>
        <w:t xml:space="preserve">Abstract</w:t>
      </w:r>
    </w:p>
    <w:p>
      <w:pPr>
        <w:pBdr>
          <w:left w:val="single" w:color="000000" w:sz="4"/>
          <w:bottom w:val="single" w:color="000000" w:sz="4"/>
          <w:right w:val="single" w:color="000000" w:sz="4"/>
        </w:pBdr>
        <w:shd w:fill="EEEEEE" w:val="clear"/>
        <w:spacing w:after="0" w:before="0"/>
        <w:ind w:left="280" w:right="280"/>
        <w:jc w:val="both"/>
      </w:pPr>
      <w:r>
        <w:rPr>
          <w:rFonts w:ascii="Arial" w:cs="Arial" w:eastAsia="Arial" w:hAnsi="Arial"/>
          <w:color w:val="000000"/>
          <w:sz w:val="21"/>
          <w:szCs w:val="21"/>
        </w:rPr>
        <w:t xml:space="preserve">This paper investigates whether domain-specific fine-tuning reorganizes the internal representations of a language model, or merely adjusts its output behavior. Using Pythia-160M as the base model and Python code as the fine-tuning domain, we trained Sparse Autoencoders (SAEs) on Layer 6 residual stream activations from both the pretrained and fine-tuned models. Critically, both SAEs were evaluated on identical code tokens from the CodeParrot-Clean dataset, isolating model-induced changes from data-distribution effects. A four-way reconstruction transfer matrix reveals a 3–4× degradation in cross-domain reconstruction loss, indicating a substantial shift in the learned feature basis. Activation drift analysis shows a mean L2 drift of 8.93, approximately 44% of the mean activation norm, concentrated around Python-specific constructs such as self, import, docstrings, and error handlers. Token-level and sparse feature drift analyses confirm that fine-tuning selectively repurposes a small subset of features rather than globally scrambling the representation. Together, these results demonstrate that Python fine-tuning induces a structured, domain-aligned reorganization of Layer 6’s internal feature space.</w:t>
      </w:r>
    </w:p>
    <w:p>
      <w:pPr>
        <w:spacing w:after="0" w:before="200"/>
      </w:pPr>
      <w:r>
        <w:t xml:space="preserve"/>
      </w:r>
    </w:p>
    <w:p>
      <w:pPr>
        <w:pBdr>
          <w:bottom w:val="single" w:color="000000" w:sz="4" w:space="4"/>
        </w:pBdr>
        <w:spacing w:after="120" w:before="360"/>
      </w:pPr>
      <w:r>
        <w:rPr>
          <w:rFonts w:ascii="Arial" w:cs="Arial" w:eastAsia="Arial" w:hAnsi="Arial"/>
          <w:b/>
          <w:bCs/>
          <w:color w:val="000000"/>
          <w:sz w:val="28"/>
          <w:szCs w:val="28"/>
        </w:rPr>
        <w:t xml:space="preserve">1. Introduction</w:t>
      </w:r>
    </w:p>
    <w:p>
      <w:pPr>
        <w:spacing w:after="80" w:before="60"/>
        <w:jc w:val="both"/>
      </w:pPr>
      <w:r>
        <w:rPr>
          <w:rFonts w:ascii="Arial" w:cs="Arial" w:eastAsia="Arial" w:hAnsi="Arial"/>
          <w:color w:val="000000"/>
          <w:sz w:val="22"/>
          <w:szCs w:val="22"/>
        </w:rPr>
        <w:t xml:space="preserve">Language models are notoriously difficult to interpret because their internal activations are dense: every neuron contributes to many computations simultaneously, and the directions corresponding to human-interpretable concepts are entangled across the full activation space. Mechanistic interpretability is the subfield that attempts to reverse-engineer these representations, identifying the specific circuits and features that mediate model behavior.</w:t>
      </w:r>
    </w:p>
    <w:p>
      <w:pPr>
        <w:spacing w:after="80" w:before="60"/>
        <w:jc w:val="both"/>
      </w:pPr>
      <w:r>
        <w:rPr>
          <w:rFonts w:ascii="Arial" w:cs="Arial" w:eastAsia="Arial" w:hAnsi="Arial"/>
          <w:color w:val="000000"/>
          <w:sz w:val="22"/>
          <w:szCs w:val="22"/>
        </w:rPr>
        <w:t xml:space="preserve">One of the most powerful tools in this endeavor is the Sparse Autoencoder (SAE). An SAE is a small neural network trained on top of a frozen model’s internal activations. Its objective is to decompose each dense activation vector into a larger but sparse set of learned directions, ideally ones that correspond to human-interpretable concepts such as “this token is a Python keyword” or “this is a URL fragment.” The key property is sparsity: for any given token, only a small number of features fire, making the representation legible.</w:t>
      </w:r>
    </w:p>
    <w:p>
      <w:pPr>
        <w:spacing w:after="80" w:before="60"/>
        <w:jc w:val="both"/>
      </w:pPr>
      <w:r>
        <w:rPr>
          <w:rFonts w:ascii="Arial" w:cs="Arial" w:eastAsia="Arial" w:hAnsi="Arial"/>
          <w:color w:val="000000"/>
          <w:sz w:val="22"/>
          <w:szCs w:val="22"/>
        </w:rPr>
        <w:t xml:space="preserve">This project addresses a specific question: when a language model is fine-tuned on a narrow domain, does it merely learn to shift its output probability distribution toward domain-relevant tokens, or does it reorganize the internal feature representations at Layer 6? The distinction matters because it determines whether fine-tuning is a shallow surface-level adjustment or a deeper restructuring of how the model encodes concepts.</w:t>
      </w:r>
    </w:p>
    <w:p>
      <w:pPr>
        <w:spacing w:after="80" w:before="60"/>
        <w:jc w:val="both"/>
      </w:pPr>
      <w:r>
        <w:rPr>
          <w:rFonts w:ascii="Arial" w:cs="Arial" w:eastAsia="Arial" w:hAnsi="Arial"/>
          <w:color w:val="000000"/>
          <w:sz w:val="22"/>
          <w:szCs w:val="22"/>
        </w:rPr>
        <w:t xml:space="preserve">We chose Python code as the fine-tuning domain because code has highly structured, repeated patterns—indentation, function definitions, docstrings, imports, identifiers, configuration strings, and comments—that make post-hoc feature inspection interpretable. To ensure a clean comparison, we evaluated both the base and fine-tuned SAEs on the exact same code tokens from the CodeParrot-Clean dataset, eliminating confounds from data-distribution differences.</w:t>
      </w:r>
    </w:p>
    <w:p>
      <w:r>
        <w:br w:type="page"/>
      </w:r>
    </w:p>
    <w:p>
      <w:pPr>
        <w:pBdr>
          <w:bottom w:val="single" w:color="000000" w:sz="4" w:space="4"/>
        </w:pBdr>
        <w:spacing w:after="120" w:before="360"/>
      </w:pPr>
      <w:r>
        <w:rPr>
          <w:rFonts w:ascii="Arial" w:cs="Arial" w:eastAsia="Arial" w:hAnsi="Arial"/>
          <w:b/>
          <w:bCs/>
          <w:color w:val="000000"/>
          <w:sz w:val="28"/>
          <w:szCs w:val="28"/>
        </w:rPr>
        <w:t xml:space="preserve">2. Background and Related Work</w:t>
      </w:r>
    </w:p>
    <w:p>
      <w:pPr>
        <w:spacing w:after="80" w:before="240"/>
      </w:pPr>
      <w:r>
        <w:rPr>
          <w:rFonts w:ascii="Arial" w:cs="Arial" w:eastAsia="Arial" w:hAnsi="Arial"/>
          <w:b/>
          <w:bCs/>
          <w:color w:val="000000"/>
          <w:sz w:val="24"/>
          <w:szCs w:val="24"/>
        </w:rPr>
        <w:t xml:space="preserve">2.1 Sparse Autoencoders for Mechanistic Interpretability</w:t>
      </w:r>
    </w:p>
    <w:p>
      <w:pPr>
        <w:spacing w:after="80" w:before="60"/>
        <w:jc w:val="both"/>
      </w:pPr>
      <w:r>
        <w:rPr>
          <w:rFonts w:ascii="Arial" w:cs="Arial" w:eastAsia="Arial" w:hAnsi="Arial"/>
          <w:color w:val="000000"/>
          <w:sz w:val="22"/>
          <w:szCs w:val="22"/>
        </w:rPr>
        <w:t xml:space="preserve">The superposition hypothesis (Elhage et al., 2022) posits that neural networks represent more features than they have neurons by superimposing many near-orthogonal directions in activation space. SAEs address this by learning an overcomplete dictionary: given an activation vector x ∈ ℝ^d, the encoder produces a sparse code z = ReLU(W_enc x + b), and the decoder reconstructs x̂ = W_dec z. Training minimizes a combination of MSE reconstruction loss and an L1 sparsity penalty. The decoder directions are taken as the learned features.</w:t>
      </w:r>
    </w:p>
    <w:p>
      <w:pPr>
        <w:spacing w:after="80" w:before="60"/>
        <w:jc w:val="both"/>
      </w:pPr>
      <w:r>
        <w:rPr>
          <w:rFonts w:ascii="Arial" w:cs="Arial" w:eastAsia="Arial" w:hAnsi="Arial"/>
          <w:color w:val="000000"/>
          <w:sz w:val="22"/>
          <w:szCs w:val="22"/>
        </w:rPr>
        <w:t xml:space="preserve">The work of Bricken et al. (2023) on one-layer transformers demonstrated that SAE features can correspond to monosemantic, human-interpretable concepts. Subsequent work has scaled these techniques to larger models, but questions about feature stability across fine-tuning regimes remain largely open.</w:t>
      </w:r>
    </w:p>
    <w:p>
      <w:pPr>
        <w:spacing w:after="80" w:before="240"/>
      </w:pPr>
      <w:r>
        <w:rPr>
          <w:rFonts w:ascii="Arial" w:cs="Arial" w:eastAsia="Arial" w:hAnsi="Arial"/>
          <w:b/>
          <w:bCs/>
          <w:color w:val="000000"/>
          <w:sz w:val="24"/>
          <w:szCs w:val="24"/>
        </w:rPr>
        <w:t xml:space="preserve">2.2 Pythia-160M</w:t>
      </w:r>
    </w:p>
    <w:p>
      <w:pPr>
        <w:spacing w:after="80" w:before="60"/>
        <w:jc w:val="both"/>
      </w:pPr>
      <w:r>
        <w:rPr>
          <w:rFonts w:ascii="Arial" w:cs="Arial" w:eastAsia="Arial" w:hAnsi="Arial"/>
          <w:color w:val="000000"/>
          <w:sz w:val="22"/>
          <w:szCs w:val="22"/>
        </w:rPr>
        <w:t xml:space="preserve">Pythia-160M (Biderman et al., 2023) is a 160-million parameter GPT-NeoX-style autoregressive language model trained on The Pile. It uses rotary positional embeddings and has 12 transformer layers with a hidden dimension of 768. We selected it because its small size makes full activation extraction and SAE training feasible on commodity hardware (Google Colab), while its architecture is representative of modern transformer models.</w:t>
      </w:r>
    </w:p>
    <w:p>
      <w:pPr>
        <w:spacing w:after="80" w:before="240"/>
      </w:pPr>
      <w:r>
        <w:rPr>
          <w:rFonts w:ascii="Arial" w:cs="Arial" w:eastAsia="Arial" w:hAnsi="Arial"/>
          <w:b/>
          <w:bCs/>
          <w:color w:val="000000"/>
          <w:sz w:val="24"/>
          <w:szCs w:val="24"/>
        </w:rPr>
        <w:t xml:space="preserve">2.3 Fine-Tuning and Representational Shift</w:t>
      </w:r>
    </w:p>
    <w:p>
      <w:pPr>
        <w:spacing w:after="80" w:before="60"/>
        <w:jc w:val="both"/>
      </w:pPr>
      <w:r>
        <w:rPr>
          <w:rFonts w:ascii="Arial" w:cs="Arial" w:eastAsia="Arial" w:hAnsi="Arial"/>
          <w:color w:val="000000"/>
          <w:sz w:val="22"/>
          <w:szCs w:val="22"/>
        </w:rPr>
        <w:t xml:space="preserve">Prior work on transfer learning has shown that fine-tuning predominantly affects the later layers of a network, with earlier layers retaining more general representations. However, these analyses typically measure output-space behavior (perplexity, downstream task accuracy) rather than the geometry of internal activation spaces. The use of SAEs as a lens for studying fine-tuning-induced representational change is, to our knowledge, relatively novel.</w:t>
      </w:r>
    </w:p>
    <w:p>
      <w:r>
        <w:br w:type="page"/>
      </w:r>
    </w:p>
    <w:p>
      <w:pPr>
        <w:pBdr>
          <w:bottom w:val="single" w:color="000000" w:sz="4" w:space="4"/>
        </w:pBdr>
        <w:spacing w:after="120" w:before="360"/>
      </w:pPr>
      <w:r>
        <w:rPr>
          <w:rFonts w:ascii="Arial" w:cs="Arial" w:eastAsia="Arial" w:hAnsi="Arial"/>
          <w:b/>
          <w:bCs/>
          <w:color w:val="000000"/>
          <w:sz w:val="28"/>
          <w:szCs w:val="28"/>
        </w:rPr>
        <w:t xml:space="preserve">3. Experimental Setup</w:t>
      </w:r>
    </w:p>
    <w:p>
      <w:pPr>
        <w:spacing w:after="80" w:before="240"/>
      </w:pPr>
      <w:r>
        <w:rPr>
          <w:rFonts w:ascii="Arial" w:cs="Arial" w:eastAsia="Arial" w:hAnsi="Arial"/>
          <w:b/>
          <w:bCs/>
          <w:color w:val="000000"/>
          <w:sz w:val="24"/>
          <w:szCs w:val="24"/>
        </w:rPr>
        <w:t xml:space="preserve">3.1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5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Base Model</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EleutherAI/pythia-160m</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Fine-Tuned Model</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pythia_python_final (local checkpoint)</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Transformer Layers</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12</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Hidden Dimension</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768</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Hook Location</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gpt_neox.layers[6] (residual stream post-MLP)</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Fine-Tuning Objective</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Next-token prediction on Python code</w:t>
            </w:r>
          </w:p>
        </w:tc>
      </w:tr>
    </w:tbl>
    <w:p>
      <w:pPr>
        <w:spacing w:after="0" w:before="100"/>
      </w:pPr>
      <w:r>
        <w:t xml:space="preserve"/>
      </w:r>
    </w:p>
    <w:p>
      <w:pPr>
        <w:spacing w:after="80" w:before="60"/>
        <w:jc w:val="both"/>
      </w:pPr>
      <w:r>
        <w:rPr>
          <w:rFonts w:ascii="Arial" w:cs="Arial" w:eastAsia="Arial" w:hAnsi="Arial"/>
          <w:color w:val="000000"/>
          <w:sz w:val="22"/>
          <w:szCs w:val="22"/>
        </w:rPr>
        <w:t xml:space="preserve">We selected Layer 6 as the target layer because it represents the middle of the network, where representations are expected to encode rich semantic and syntactic structure while still being influenced by fine-tuning. The hook captures the full residual stream after the layer’s MLP block.</w:t>
      </w:r>
    </w:p>
    <w:p>
      <w:pPr>
        <w:spacing w:after="80" w:before="240"/>
      </w:pPr>
      <w:r>
        <w:rPr>
          <w:rFonts w:ascii="Arial" w:cs="Arial" w:eastAsia="Arial" w:hAnsi="Arial"/>
          <w:b/>
          <w:bCs/>
          <w:color w:val="000000"/>
          <w:sz w:val="24"/>
          <w:szCs w:val="24"/>
        </w:rPr>
        <w:t xml:space="preserve">3.2 Dataset Selection</w:t>
      </w:r>
    </w:p>
    <w:p>
      <w:pPr>
        <w:spacing w:after="80" w:before="60"/>
        <w:jc w:val="both"/>
      </w:pPr>
      <w:r>
        <w:rPr>
          <w:rFonts w:ascii="Arial" w:cs="Arial" w:eastAsia="Arial" w:hAnsi="Arial"/>
          <w:color w:val="000000"/>
          <w:sz w:val="22"/>
          <w:szCs w:val="22"/>
        </w:rPr>
        <w:t xml:space="preserve">The initial baseline experiment used WikiText-2, but this was abandoned after preliminary results showed poor SAE transfer, large reconstruction degradation, and many punctuation-related features that obscured meaningful analysis. The core problem was that evaluating on a general text corpus could not isolate model changes from data-distribution effects.</w:t>
      </w:r>
    </w:p>
    <w:p>
      <w:pPr>
        <w:spacing w:after="80" w:before="60"/>
        <w:jc w:val="both"/>
      </w:pPr>
      <w:r>
        <w:rPr>
          <w:rFonts w:ascii="Arial" w:cs="Arial" w:eastAsia="Arial" w:hAnsi="Arial"/>
          <w:color w:val="000000"/>
          <w:sz w:val="22"/>
          <w:szCs w:val="22"/>
        </w:rPr>
        <w:t xml:space="preserve">For the final experiment we selected CodeParrot-Clean (codeparrot/codeparrot-clean on HuggingFace), a large corpus of real GitHub Python repositories. This was chosen because: (1) it provides tokens directly relevant to the fine-tuning domain, (2) it contains a rich diversity of Python constructs, and (3) evaluating both models on the same tokens ensures differences reflect model changes rather than input differences.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Dataset Property</w:t>
            </w:r>
          </w:p>
        </w:tc>
        <w:tc>
          <w:tcPr>
            <w:tcW w:type="dxa" w:w="5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Dataset Name</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CodeParrot-Clean</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Source</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Real GitHub Python repositories</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Samples Used</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1,000 code files</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Max Tokens per Sample</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256</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 Activations Extracted</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255,984</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Activation Shape</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[255,984 × 768]</w:t>
            </w:r>
          </w:p>
        </w:tc>
      </w:tr>
    </w:tbl>
    <w:p>
      <w:pPr>
        <w:spacing w:after="0" w:before="100"/>
      </w:pPr>
      <w:r>
        <w:t xml:space="preserve"/>
      </w:r>
    </w:p>
    <w:p>
      <w:pPr>
        <w:spacing w:after="80" w:before="240"/>
      </w:pPr>
      <w:r>
        <w:rPr>
          <w:rFonts w:ascii="Arial" w:cs="Arial" w:eastAsia="Arial" w:hAnsi="Arial"/>
          <w:b/>
          <w:bCs/>
          <w:color w:val="000000"/>
          <w:sz w:val="24"/>
          <w:szCs w:val="24"/>
        </w:rPr>
        <w:t xml:space="preserve">3.3 Activation Extraction</w:t>
      </w:r>
    </w:p>
    <w:p>
      <w:pPr>
        <w:spacing w:after="80" w:before="60"/>
        <w:jc w:val="both"/>
      </w:pPr>
      <w:r>
        <w:rPr>
          <w:rFonts w:ascii="Arial" w:cs="Arial" w:eastAsia="Arial" w:hAnsi="Arial"/>
          <w:color w:val="000000"/>
          <w:sz w:val="22"/>
          <w:szCs w:val="22"/>
        </w:rPr>
        <w:t xml:space="preserve">Activations were extracted by running each model in inference mode over the same 1,000 code files from CodeParrot-Clean, with a maximum of 256 tokens per file. The residual stream at the output of Layer 6 was captured via a forward hook. Activations were collected in batches, flattened over batch and sequence dimensions, and stored as float32 tensors. The final dataset contains 255,984 vectors of dimension 768.</w:t>
      </w:r>
    </w:p>
    <w:p>
      <w:pPr>
        <w:spacing w:after="80" w:before="60"/>
        <w:jc w:val="both"/>
      </w:pPr>
      <w:r>
        <w:rPr>
          <w:rFonts w:ascii="Arial" w:cs="Arial" w:eastAsia="Arial" w:hAnsi="Arial"/>
          <w:color w:val="000000"/>
          <w:sz w:val="22"/>
          <w:szCs w:val="22"/>
        </w:rPr>
        <w:t xml:space="preserve">Alongside activations, we saved a token map (token_map.pt) linking each activation index to its token string, full source context, and file position. This map was essential for the token-level drift analysis in Section 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Activation Statistic</w:t>
            </w:r>
          </w:p>
        </w:tc>
        <w:tc>
          <w:tcPr>
            <w:tcW w:type="dxa" w:w="5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Base Model</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Mean</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−0.0123</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Std</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1.2053</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Mean Token Norm</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20.3585</w:t>
            </w:r>
          </w:p>
        </w:tc>
      </w:tr>
    </w:tbl>
    <w:p>
      <w:r>
        <w:br w:type="page"/>
      </w:r>
    </w:p>
    <w:p>
      <w:pPr>
        <w:pBdr>
          <w:bottom w:val="single" w:color="000000" w:sz="4" w:space="4"/>
        </w:pBdr>
        <w:spacing w:after="120" w:before="360"/>
      </w:pPr>
      <w:r>
        <w:rPr>
          <w:rFonts w:ascii="Arial" w:cs="Arial" w:eastAsia="Arial" w:hAnsi="Arial"/>
          <w:b/>
          <w:bCs/>
          <w:color w:val="000000"/>
          <w:sz w:val="28"/>
          <w:szCs w:val="28"/>
        </w:rPr>
        <w:t xml:space="preserve">4. SAE Architecture and Training</w:t>
      </w:r>
    </w:p>
    <w:p>
      <w:pPr>
        <w:spacing w:after="80" w:before="240"/>
      </w:pPr>
      <w:r>
        <w:rPr>
          <w:rFonts w:ascii="Arial" w:cs="Arial" w:eastAsia="Arial" w:hAnsi="Arial"/>
          <w:b/>
          <w:bCs/>
          <w:color w:val="000000"/>
          <w:sz w:val="24"/>
          <w:szCs w:val="24"/>
        </w:rPr>
        <w:t xml:space="preserve">4.1 Architecture and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Hyperparameter</w:t>
            </w:r>
          </w:p>
        </w:tc>
        <w:tc>
          <w:tcPr>
            <w:tcW w:type="dxa" w:w="5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Input Dimension (d_in)</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768</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SAE Hidden Dimension (d_sae)</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6,144 (8× expansion)</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Activation Function</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ReLU</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Batch Size</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1,024</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Learning Rate</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1e-4</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L1 Coefficient</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1e-3</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Training Epochs</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Library</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sae_lens (StandardSAEConfig)</w:t>
            </w:r>
          </w:p>
        </w:tc>
      </w:tr>
    </w:tbl>
    <w:p>
      <w:pPr>
        <w:spacing w:after="0" w:before="100"/>
      </w:pPr>
      <w:r>
        <w:t xml:space="preserve"/>
      </w:r>
    </w:p>
    <w:p>
      <w:pPr>
        <w:spacing w:after="80" w:before="60"/>
        <w:jc w:val="both"/>
      </w:pPr>
      <w:r>
        <w:rPr>
          <w:rFonts w:ascii="Arial" w:cs="Arial" w:eastAsia="Arial" w:hAnsi="Arial"/>
          <w:color w:val="000000"/>
          <w:sz w:val="22"/>
          <w:szCs w:val="22"/>
        </w:rPr>
        <w:t xml:space="preserve">Both SAEs used identical hyperparameters to ensure a fair comparison. Any observed differences in learned features can be attributed to differences in the underlying activations, not training differences. The 8× expansion ratio (768 → 6,144) provides a sufficiently overcomplete dictionary for decomposing the residual stream.</w:t>
      </w:r>
    </w:p>
    <w:p>
      <w:pPr>
        <w:spacing w:after="80" w:before="240"/>
      </w:pPr>
      <w:r>
        <w:rPr>
          <w:rFonts w:ascii="Arial" w:cs="Arial" w:eastAsia="Arial" w:hAnsi="Arial"/>
          <w:b/>
          <w:bCs/>
          <w:color w:val="000000"/>
          <w:sz w:val="24"/>
          <w:szCs w:val="24"/>
        </w:rPr>
        <w:t xml:space="preserve">4.2 Training Results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Base SAE</w:t>
            </w:r>
          </w:p>
        </w:tc>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Fine-Tuned SAE</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Reconstruction Loss (MSE)</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0.094386</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0.089690</w:t>
            </w:r>
          </w:p>
        </w:tc>
      </w:tr>
      <w:tr>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Mean Active Features / Token</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320.59</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346.12</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Median Active Features / Token</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288</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318</w:t>
            </w:r>
          </w:p>
        </w:tc>
      </w:tr>
    </w:tbl>
    <w:p>
      <w:pPr>
        <w:spacing w:after="0" w:before="80"/>
      </w:pPr>
      <w:r>
        <w:t xml:space="preserve"/>
      </w:r>
    </w:p>
    <w:p>
      <w:pPr>
        <w:spacing w:after="80" w:before="60"/>
        <w:jc w:val="both"/>
      </w:pPr>
      <w:r>
        <w:rPr>
          <w:rFonts w:ascii="Arial" w:cs="Arial" w:eastAsia="Arial" w:hAnsi="Arial"/>
          <w:color w:val="000000"/>
          <w:sz w:val="22"/>
          <w:szCs w:val="22"/>
        </w:rPr>
        <w:t xml:space="preserve">Both SAEs converged to low reconstruction loss, confirming healthy training. The fine-tuned SAE achieved marginally better reconstruction and used slightly more active features per token, consistent with the fine-tuned model’s activations being somewhat more structured and thus easier to decompose sparsely.</w:t>
      </w:r>
    </w:p>
    <w:p>
      <w:r>
        <w:br w:type="page"/>
      </w:r>
    </w:p>
    <w:p>
      <w:pPr>
        <w:pBdr>
          <w:bottom w:val="single" w:color="000000" w:sz="4" w:space="4"/>
        </w:pBdr>
        <w:spacing w:after="120" w:before="360"/>
      </w:pPr>
      <w:r>
        <w:rPr>
          <w:rFonts w:ascii="Arial" w:cs="Arial" w:eastAsia="Arial" w:hAnsi="Arial"/>
          <w:b/>
          <w:bCs/>
          <w:color w:val="000000"/>
          <w:sz w:val="28"/>
          <w:szCs w:val="28"/>
        </w:rPr>
        <w:t xml:space="preserve">5. Reconstruction Transfer Matrix</w:t>
      </w:r>
    </w:p>
    <w:p>
      <w:pPr>
        <w:spacing w:after="80" w:before="240"/>
      </w:pPr>
      <w:r>
        <w:rPr>
          <w:rFonts w:ascii="Arial" w:cs="Arial" w:eastAsia="Arial" w:hAnsi="Arial"/>
          <w:b/>
          <w:bCs/>
          <w:color w:val="000000"/>
          <w:sz w:val="24"/>
          <w:szCs w:val="24"/>
        </w:rPr>
        <w:t xml:space="preserve">5.1 Design</w:t>
      </w:r>
    </w:p>
    <w:p>
      <w:pPr>
        <w:spacing w:after="80" w:before="60"/>
        <w:jc w:val="both"/>
      </w:pPr>
      <w:r>
        <w:rPr>
          <w:rFonts w:ascii="Arial" w:cs="Arial" w:eastAsia="Arial" w:hAnsi="Arial"/>
          <w:color w:val="000000"/>
          <w:sz w:val="22"/>
          <w:szCs w:val="22"/>
        </w:rPr>
        <w:t xml:space="preserve">The transfer matrix experiment is the central quantitative test of our hypothesis. If fine-tuning reorganizes the internal feature basis, applying the base SAE to fine-tuned activations (and vice versa) should produce substantially worse reconstruction than within-domain evaluation. If fine-tuning merely rescales activations, cross-domain reconstructions should remain similar to within-domain ones.</w:t>
      </w:r>
    </w:p>
    <w:p>
      <w:pPr>
        <w:spacing w:after="80" w:before="60"/>
        <w:jc w:val="both"/>
      </w:pPr>
      <w:r>
        <w:rPr>
          <w:rFonts w:ascii="Arial" w:cs="Arial" w:eastAsia="Arial" w:hAnsi="Arial"/>
          <w:color w:val="000000"/>
          <w:sz w:val="22"/>
          <w:szCs w:val="22"/>
        </w:rPr>
        <w:t xml:space="preserve">We evaluated all four combinations of SAE and activation source, measuring MSE reconstruction loss in each case.</w:t>
      </w:r>
    </w:p>
    <w:p>
      <w:pPr>
        <w:spacing w:after="80" w:before="240"/>
      </w:pPr>
      <w:r>
        <w:rPr>
          <w:rFonts w:ascii="Arial" w:cs="Arial" w:eastAsia="Arial" w:hAnsi="Arial"/>
          <w:b/>
          <w:bCs/>
          <w:color w:val="000000"/>
          <w:sz w:val="24"/>
          <w:szCs w:val="24"/>
        </w:rPr>
        <w:t xml:space="preserve">5.2 Results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
            </w:r>
          </w:p>
        </w:tc>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Base Activations</w:t>
            </w:r>
          </w:p>
        </w:tc>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Fine-Tuned Activations</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Base SAE applied to:</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0.088149 (within)</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0.257029 (cross)</w:t>
            </w:r>
          </w:p>
        </w:tc>
      </w:tr>
      <w:tr>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Fine-Tuned SAE applied to:</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0.354776 (cross)</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0.086003 (within)</w:t>
            </w:r>
          </w:p>
        </w:tc>
      </w:tr>
    </w:tbl>
    <w:p>
      <w:pPr>
        <w:spacing w:after="0" w:before="80"/>
      </w:pPr>
      <w:r>
        <w:t xml:space="preserve"/>
      </w:r>
    </w:p>
    <w:p>
      <w:pPr>
        <w:spacing w:after="80" w:before="60"/>
        <w:jc w:val="both"/>
      </w:pPr>
      <w:r>
        <w:rPr>
          <w:rFonts w:ascii="Arial" w:cs="Arial" w:eastAsia="Arial" w:hAnsi="Arial"/>
          <w:color w:val="000000"/>
          <w:sz w:val="22"/>
          <w:szCs w:val="22"/>
        </w:rPr>
        <w:t xml:space="preserve">Within-domain reconstruction achieves an MSE of approximately 0.086–0.088, confirming both SAEs are well-trained. Cross-domain reconstruction degrades dramatically to 0.257 and 0.355, a factor of 3–4×. This constitutes strong evidence that the internal feature basis changed substantially after fine-tuning.</w:t>
      </w:r>
    </w:p>
    <w:p>
      <w:pPr>
        <w:spacing w:after="80" w:before="60"/>
        <w:jc w:val="both"/>
      </w:pPr>
      <w:r>
        <w:rPr>
          <w:rFonts w:ascii="Arial" w:cs="Arial" w:eastAsia="Arial" w:hAnsi="Arial"/>
          <w:color w:val="000000"/>
          <w:sz w:val="22"/>
          <w:szCs w:val="22"/>
        </w:rPr>
        <w:t xml:space="preserve">The asymmetry between the two off-diagonal entries (0.257 vs. 0.355) is informative: the fine-tuned SAE suffers more when applied to base activations, suggesting the fine-tuned model’s feature basis is more specialized. This result rules out simple linear transformations as an explanation; a mere rotation or scaling would preserve cross-domain reconstruction quality.</w:t>
      </w:r>
    </w:p>
    <w:p>
      <w:r>
        <w:br w:type="page"/>
      </w:r>
    </w:p>
    <w:p>
      <w:pPr>
        <w:pBdr>
          <w:bottom w:val="single" w:color="000000" w:sz="4" w:space="4"/>
        </w:pBdr>
        <w:spacing w:after="120" w:before="360"/>
      </w:pPr>
      <w:r>
        <w:rPr>
          <w:rFonts w:ascii="Arial" w:cs="Arial" w:eastAsia="Arial" w:hAnsi="Arial"/>
          <w:b/>
          <w:bCs/>
          <w:color w:val="000000"/>
          <w:sz w:val="28"/>
          <w:szCs w:val="28"/>
        </w:rPr>
        <w:t xml:space="preserve">6. Activation Drift Analysis</w:t>
      </w:r>
    </w:p>
    <w:p>
      <w:pPr>
        <w:spacing w:after="80" w:before="240"/>
      </w:pPr>
      <w:r>
        <w:rPr>
          <w:rFonts w:ascii="Arial" w:cs="Arial" w:eastAsia="Arial" w:hAnsi="Arial"/>
          <w:b/>
          <w:bCs/>
          <w:color w:val="000000"/>
          <w:sz w:val="24"/>
          <w:szCs w:val="24"/>
        </w:rPr>
        <w:t xml:space="preserve">6.1 Methodology</w:t>
      </w:r>
    </w:p>
    <w:p>
      <w:pPr>
        <w:spacing w:after="80" w:before="60"/>
        <w:jc w:val="both"/>
      </w:pPr>
      <w:r>
        <w:rPr>
          <w:rFonts w:ascii="Arial" w:cs="Arial" w:eastAsia="Arial" w:hAnsi="Arial"/>
          <w:color w:val="000000"/>
          <w:sz w:val="22"/>
          <w:szCs w:val="22"/>
        </w:rPr>
        <w:t xml:space="preserve">For each of the 255,984 token positions, we computed the L2 distance between the base and fine-tuned activation vectors:</w:t>
      </w:r>
    </w:p>
    <w:p>
      <w:pPr>
        <w:spacing w:after="0" w:before="60"/>
      </w:pPr>
      <w:r>
        <w:t xml:space="preserve"/>
      </w:r>
    </w:p>
    <w:p>
      <w:pPr>
        <w:shd w:fill="EEEEEE" w:val="clear"/>
        <w:spacing w:after="80" w:before="80"/>
        <w:ind w:left="720" w:right="720"/>
        <w:jc w:val="center"/>
      </w:pPr>
      <w:r>
        <w:rPr>
          <w:rFonts w:ascii="Courier New" w:cs="Courier New" w:eastAsia="Courier New" w:hAnsi="Courier New"/>
          <w:b/>
          <w:bCs/>
          <w:color w:val="000000"/>
          <w:sz w:val="22"/>
          <w:szCs w:val="22"/>
        </w:rPr>
        <w:t xml:space="preserve">drift(t) = ‖ activation_FT(t) − activation_Base(t) ‖₂</w:t>
      </w:r>
    </w:p>
    <w:p>
      <w:pPr>
        <w:spacing w:after="0" w:before="60"/>
      </w:pPr>
      <w:r>
        <w:t xml:space="preserve"/>
      </w:r>
    </w:p>
    <w:p>
      <w:pPr>
        <w:spacing w:after="80" w:before="60"/>
        <w:jc w:val="both"/>
      </w:pPr>
      <w:r>
        <w:rPr>
          <w:rFonts w:ascii="Arial" w:cs="Arial" w:eastAsia="Arial" w:hAnsi="Arial"/>
          <w:color w:val="000000"/>
          <w:sz w:val="22"/>
          <w:szCs w:val="22"/>
        </w:rPr>
        <w:t xml:space="preserve">This gives a per-token drift score measuring how much the model’s internal representation of each specific token changed after fine-tuning. We aggregate these globally and by token identity to understand which parts of the vocabulary were most affected.</w:t>
      </w:r>
    </w:p>
    <w:p>
      <w:pPr>
        <w:spacing w:after="80" w:before="240"/>
      </w:pPr>
      <w:r>
        <w:rPr>
          <w:rFonts w:ascii="Arial" w:cs="Arial" w:eastAsia="Arial" w:hAnsi="Arial"/>
          <w:b/>
          <w:bCs/>
          <w:color w:val="000000"/>
          <w:sz w:val="24"/>
          <w:szCs w:val="24"/>
        </w:rPr>
        <w:t xml:space="preserve">6.2 Global Drift Statistics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Normalized (% of mean norm)</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Mean Drift</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8.9315</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43.9%</w:t>
            </w:r>
          </w:p>
        </w:tc>
      </w:tr>
      <w:tr>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Median Drift</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7.9519</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39.1%</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Maximum Drift</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100.0769</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492%</w:t>
            </w:r>
          </w:p>
        </w:tc>
      </w:tr>
      <w:tr>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Mean Activation Norm</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20.36</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t>
            </w:r>
          </w:p>
        </w:tc>
      </w:tr>
    </w:tbl>
    <w:p>
      <w:pPr>
        <w:spacing w:after="0" w:before="80"/>
      </w:pPr>
      <w:r>
        <w:t xml:space="preserve"/>
      </w:r>
    </w:p>
    <w:p>
      <w:pPr>
        <w:spacing w:after="80" w:before="60"/>
        <w:jc w:val="both"/>
      </w:pPr>
      <w:r>
        <w:rPr>
          <w:rFonts w:ascii="Arial" w:cs="Arial" w:eastAsia="Arial" w:hAnsi="Arial"/>
          <w:color w:val="000000"/>
          <w:sz w:val="22"/>
          <w:szCs w:val="22"/>
        </w:rPr>
        <w:t xml:space="preserve">A mean drift of 8.93 against a mean activation norm of 20.36 means fine-tuning moved the Layer 6 representation of each token by approximately 44% of its typical magnitude on average. This is not a small perturbation; it represents a substantial geometric displacement in the 768-dimensional activation space.</w:t>
      </w:r>
    </w:p>
    <w:p>
      <w:pPr>
        <w:spacing w:after="80" w:before="240"/>
      </w:pPr>
      <w:r>
        <w:rPr>
          <w:rFonts w:ascii="Arial" w:cs="Arial" w:eastAsia="Arial" w:hAnsi="Arial"/>
          <w:b/>
          <w:bCs/>
          <w:color w:val="000000"/>
          <w:sz w:val="24"/>
          <w:szCs w:val="24"/>
        </w:rPr>
        <w:t xml:space="preserve">6.3 Token-Level Drift</w:t>
      </w:r>
    </w:p>
    <w:p>
      <w:pPr>
        <w:spacing w:after="80" w:before="60"/>
        <w:jc w:val="both"/>
      </w:pPr>
      <w:r>
        <w:rPr>
          <w:rFonts w:ascii="Arial" w:cs="Arial" w:eastAsia="Arial" w:hAnsi="Arial"/>
          <w:color w:val="000000"/>
          <w:sz w:val="22"/>
          <w:szCs w:val="22"/>
        </w:rPr>
        <w:t xml:space="preserve">Sorting tokens by mean drift score reveals a clear pattern: the tokens that changed most are precisely those most associated with Python-specific programming constructs.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High-Drift Token Category</w:t>
            </w:r>
          </w:p>
        </w:tc>
        <w:tc>
          <w:tcPr>
            <w:tcW w:type="dxa" w:w="5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Representative Tokens</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Object-Oriented Programming</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self, __init__, cls</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Comments and Documentation</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 """, '''</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Module System</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import, from, as</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Error Handling</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Error, Exception, raise, try</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 Structures</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dict, list, append, join</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Control Flow</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pass, return, yield</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String Operations</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decode, encode, format</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Common Identifiers</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 args, kwargs, result</w:t>
            </w:r>
          </w:p>
        </w:tc>
      </w:tr>
    </w:tbl>
    <w:p>
      <w:pPr>
        <w:spacing w:after="0" w:before="80"/>
      </w:pPr>
      <w:r>
        <w:t xml:space="preserve"/>
      </w:r>
    </w:p>
    <w:p>
      <w:pPr>
        <w:spacing w:after="80" w:before="60"/>
        <w:jc w:val="both"/>
      </w:pPr>
      <w:r>
        <w:rPr>
          <w:rFonts w:ascii="Arial" w:cs="Arial" w:eastAsia="Arial" w:hAnsi="Arial"/>
          <w:color w:val="000000"/>
          <w:sz w:val="22"/>
          <w:szCs w:val="22"/>
        </w:rPr>
        <w:t xml:space="preserve">This token-level pattern provides strong qualitative confirmation that the representational shift is domain-aligned. The tokens whose representations changed most cluster tightly around the constructs that define Python programming. Tokens like self (the universal first argument of instance methods), import, and """ (docstring delimiter) are emblematic of Python’s design and are exactly the tokens for which the model would need richer representations to improve code prediction.</w:t>
      </w:r>
    </w:p>
    <w:p>
      <w:r>
        <w:br w:type="page"/>
      </w:r>
    </w:p>
    <w:p>
      <w:pPr>
        <w:pBdr>
          <w:bottom w:val="single" w:color="000000" w:sz="4" w:space="4"/>
        </w:pBdr>
        <w:spacing w:after="120" w:before="360"/>
      </w:pPr>
      <w:r>
        <w:rPr>
          <w:rFonts w:ascii="Arial" w:cs="Arial" w:eastAsia="Arial" w:hAnsi="Arial"/>
          <w:b/>
          <w:bCs/>
          <w:color w:val="000000"/>
          <w:sz w:val="28"/>
          <w:szCs w:val="28"/>
        </w:rPr>
        <w:t xml:space="preserve">7. Sparse Feature Drift Analysis</w:t>
      </w:r>
    </w:p>
    <w:p>
      <w:pPr>
        <w:spacing w:after="80" w:before="240"/>
      </w:pPr>
      <w:r>
        <w:rPr>
          <w:rFonts w:ascii="Arial" w:cs="Arial" w:eastAsia="Arial" w:hAnsi="Arial"/>
          <w:b/>
          <w:bCs/>
          <w:color w:val="000000"/>
          <w:sz w:val="24"/>
          <w:szCs w:val="24"/>
        </w:rPr>
        <w:t xml:space="preserve">7.1 Methodology</w:t>
      </w:r>
    </w:p>
    <w:p>
      <w:pPr>
        <w:spacing w:after="80" w:before="60"/>
        <w:jc w:val="both"/>
      </w:pPr>
      <w:r>
        <w:rPr>
          <w:rFonts w:ascii="Arial" w:cs="Arial" w:eastAsia="Arial" w:hAnsi="Arial"/>
          <w:color w:val="000000"/>
          <w:sz w:val="22"/>
          <w:szCs w:val="22"/>
        </w:rPr>
        <w:t xml:space="preserve">In addition to raw activation drift, we measured drift in the SAE feature space directly. For each token, we encoded its base and fine-tuned activation vectors using both SAEs, obtaining sparse feature vectors. Feature drift was computed as the L2 distance between feature activations, allowing us to identify which specific SAE features changed most across model versions.</w:t>
      </w:r>
    </w:p>
    <w:p>
      <w:pPr>
        <w:spacing w:after="80" w:before="240"/>
      </w:pPr>
      <w:r>
        <w:rPr>
          <w:rFonts w:ascii="Arial" w:cs="Arial" w:eastAsia="Arial" w:hAnsi="Arial"/>
          <w:b/>
          <w:bCs/>
          <w:color w:val="000000"/>
          <w:sz w:val="24"/>
          <w:szCs w:val="24"/>
        </w:rPr>
        <w:t xml:space="preserve">7.2 Top Drifting Features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SAE Feature Index</w:t>
            </w:r>
          </w:p>
        </w:tc>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Drift Magnitude</w:t>
            </w:r>
          </w:p>
        </w:tc>
        <w:tc>
          <w:tcPr>
            <w:tcW w:type="dxa" w:w="312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Probable Semantic Role</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647</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15.93</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Python syntax / structural tokens</w:t>
            </w:r>
          </w:p>
        </w:tc>
      </w:tr>
      <w:tr>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684</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10.93</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Identifier context features</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1711</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10.49</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Code structure / indentation</w:t>
            </w:r>
          </w:p>
        </w:tc>
      </w:tr>
      <w:tr>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4415</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10.21</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Docstring / comment features</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3725</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6.70</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Import / module tokens</w:t>
            </w:r>
          </w:p>
        </w:tc>
      </w:tr>
      <w:tr>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455</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6.41</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Assignment / operator context</w:t>
            </w:r>
          </w:p>
        </w:tc>
      </w:tr>
      <w:tr>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4074</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5.91</w:t>
            </w:r>
          </w:p>
        </w:tc>
        <w:tc>
          <w:tcPr>
            <w:tcW w:type="dxa" w:w="312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Error / exception handling</w:t>
            </w:r>
          </w:p>
        </w:tc>
      </w:tr>
      <w:tr>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3550</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5.32</w:t>
            </w:r>
          </w:p>
        </w:tc>
        <w:tc>
          <w:tcPr>
            <w:tcW w:type="dxa" w:w="312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 structure operations</w:t>
            </w:r>
          </w:p>
        </w:tc>
      </w:tr>
    </w:tbl>
    <w:p>
      <w:pPr>
        <w:spacing w:after="0" w:before="80"/>
      </w:pPr>
      <w:r>
        <w:t xml:space="preserve"/>
      </w:r>
    </w:p>
    <w:p>
      <w:pPr>
        <w:spacing w:after="80" w:before="240"/>
      </w:pPr>
      <w:r>
        <w:rPr>
          <w:rFonts w:ascii="Arial" w:cs="Arial" w:eastAsia="Arial" w:hAnsi="Arial"/>
          <w:b/>
          <w:bCs/>
          <w:color w:val="000000"/>
          <w:sz w:val="24"/>
          <w:szCs w:val="24"/>
        </w:rPr>
        <w:t xml:space="preserve">7.3 Distribution of Feature Changes</w:t>
      </w:r>
    </w:p>
    <w:p>
      <w:pPr>
        <w:spacing w:after="80" w:before="60"/>
        <w:jc w:val="both"/>
      </w:pPr>
      <w:r>
        <w:rPr>
          <w:rFonts w:ascii="Arial" w:cs="Arial" w:eastAsia="Arial" w:hAnsi="Arial"/>
          <w:color w:val="000000"/>
          <w:sz w:val="22"/>
          <w:szCs w:val="22"/>
        </w:rPr>
        <w:t xml:space="preserve">A critical observation is that the distribution of feature drift is highly skewed: a small number of features account for the majority of total drift magnitude, while most features changed only modestly. This suggests that fine-tuning is not a catastrophic disruption of the feature basis; rather, it selectively repurposes specific features most relevant to the new domain.</w:t>
      </w:r>
    </w:p>
    <w:p>
      <w:pPr>
        <w:spacing w:after="80" w:before="60"/>
        <w:jc w:val="both"/>
      </w:pPr>
      <w:r>
        <w:rPr>
          <w:rFonts w:ascii="Arial" w:cs="Arial" w:eastAsia="Arial" w:hAnsi="Arial"/>
          <w:color w:val="000000"/>
          <w:sz w:val="22"/>
          <w:szCs w:val="22"/>
        </w:rPr>
        <w:t xml:space="preserve">The most stable features correspond to basic syntactic structures common to both natural language and Python code: newline characters, indentation whitespace, assignment operators, opening parentheses, and boolean connectives. The most changed features correspond to constructs distinctive to Python: the self keyword, docstring delimiters, import statements, and error class names.</w:t>
      </w:r>
    </w:p>
    <w:p>
      <w:r>
        <w:br w:type="page"/>
      </w:r>
    </w:p>
    <w:p>
      <w:pPr>
        <w:pBdr>
          <w:bottom w:val="single" w:color="000000" w:sz="4" w:space="4"/>
        </w:pBdr>
        <w:spacing w:after="120" w:before="360"/>
      </w:pPr>
      <w:r>
        <w:rPr>
          <w:rFonts w:ascii="Arial" w:cs="Arial" w:eastAsia="Arial" w:hAnsi="Arial"/>
          <w:b/>
          <w:bCs/>
          <w:color w:val="000000"/>
          <w:sz w:val="28"/>
          <w:szCs w:val="28"/>
        </w:rPr>
        <w:t xml:space="preserve">8. Interpretation</w:t>
      </w:r>
    </w:p>
    <w:p>
      <w:pPr>
        <w:spacing w:after="80" w:before="240"/>
      </w:pPr>
      <w:r>
        <w:rPr>
          <w:rFonts w:ascii="Arial" w:cs="Arial" w:eastAsia="Arial" w:hAnsi="Arial"/>
          <w:b/>
          <w:bCs/>
          <w:color w:val="000000"/>
          <w:sz w:val="24"/>
          <w:szCs w:val="24"/>
        </w:rPr>
        <w:t xml:space="preserve">8.1 A Consistent Story Across Four Analyses</w:t>
      </w:r>
    </w:p>
    <w:p>
      <w:pPr>
        <w:spacing w:after="80" w:before="60"/>
        <w:jc w:val="both"/>
      </w:pPr>
      <w:r>
        <w:rPr>
          <w:rFonts w:ascii="Arial" w:cs="Arial" w:eastAsia="Arial" w:hAnsi="Arial"/>
          <w:color w:val="000000"/>
          <w:sz w:val="22"/>
          <w:szCs w:val="22"/>
        </w:rPr>
        <w:t xml:space="preserve">The four independent analyses reported here—the reconstruction transfer matrix, global activation drift statistics, token-level drift analysis, and sparse feature drift analysis—all converge on the same conclusion: Python fine-tuning induces a substantial, structured, domain-aligned reorganization of Layer 6’s internal representations.</w:t>
      </w:r>
    </w:p>
    <w:p>
      <w:pPr>
        <w:spacing w:after="80" w:before="60"/>
        <w:jc w:val="both"/>
      </w:pPr>
      <w:r>
        <w:rPr>
          <w:rFonts w:ascii="Arial" w:cs="Arial" w:eastAsia="Arial" w:hAnsi="Arial"/>
          <w:color w:val="000000"/>
          <w:sz w:val="22"/>
          <w:szCs w:val="22"/>
        </w:rPr>
        <w:t xml:space="preserve">The transfer matrix establishes that this reorganization is not a mere rotation or scaling of the original basis. The activation drift statistics quantify the magnitude: on average, each token’s representation moves by nearly 44% of its typical norm. The token-level drift analysis identifies which tokens drove the change: those most associated with Python-specific constructs. The sparse feature drift analysis confirms the change is selective rather than uniform.</w:t>
      </w:r>
    </w:p>
    <w:p>
      <w:pPr>
        <w:spacing w:after="80" w:before="240"/>
      </w:pPr>
      <w:r>
        <w:rPr>
          <w:rFonts w:ascii="Arial" w:cs="Arial" w:eastAsia="Arial" w:hAnsi="Arial"/>
          <w:b/>
          <w:bCs/>
          <w:color w:val="000000"/>
          <w:sz w:val="24"/>
          <w:szCs w:val="24"/>
        </w:rPr>
        <w:t xml:space="preserve">8.2 Fine-Tuning as Representational Reorganization</w:t>
      </w:r>
    </w:p>
    <w:p>
      <w:pPr>
        <w:spacing w:after="80" w:before="60"/>
        <w:jc w:val="both"/>
      </w:pPr>
      <w:r>
        <w:rPr>
          <w:rFonts w:ascii="Arial" w:cs="Arial" w:eastAsia="Arial" w:hAnsi="Arial"/>
          <w:color w:val="000000"/>
          <w:sz w:val="22"/>
          <w:szCs w:val="22"/>
        </w:rPr>
        <w:t xml:space="preserve">Our results support a view of fine-tuning as representational reorganization rather than merely output adjustment. When the model is trained to predict Python code, it does not simply learn to output different token probabilities for a fixed internal representation; it develops richer, more specialized internal encodings of the concepts central to code prediction.</w:t>
      </w:r>
    </w:p>
    <w:p>
      <w:pPr>
        <w:spacing w:after="80" w:before="60"/>
        <w:jc w:val="both"/>
      </w:pPr>
      <w:r>
        <w:rPr>
          <w:rFonts w:ascii="Arial" w:cs="Arial" w:eastAsia="Arial" w:hAnsi="Arial"/>
          <w:color w:val="000000"/>
          <w:sz w:val="22"/>
          <w:szCs w:val="22"/>
        </w:rPr>
        <w:t xml:space="preserve">This reorganization is concentrated in the middle layer we studied, consistent with the theoretical expectation that middle layers encode rich semantic and structural representations most relevant to domain-specific competence.</w:t>
      </w:r>
    </w:p>
    <w:p>
      <w:pPr>
        <w:spacing w:after="80" w:before="240"/>
      </w:pPr>
      <w:r>
        <w:rPr>
          <w:rFonts w:ascii="Arial" w:cs="Arial" w:eastAsia="Arial" w:hAnsi="Arial"/>
          <w:b/>
          <w:bCs/>
          <w:color w:val="000000"/>
          <w:sz w:val="24"/>
          <w:szCs w:val="24"/>
        </w:rPr>
        <w:t xml:space="preserve">8.3 The Role of Code-Adjacent Text</w:t>
      </w:r>
    </w:p>
    <w:p>
      <w:pPr>
        <w:spacing w:after="80" w:before="60"/>
        <w:jc w:val="both"/>
      </w:pPr>
      <w:r>
        <w:rPr>
          <w:rFonts w:ascii="Arial" w:cs="Arial" w:eastAsia="Arial" w:hAnsi="Arial"/>
          <w:color w:val="000000"/>
          <w:sz w:val="22"/>
          <w:szCs w:val="22"/>
        </w:rPr>
        <w:t xml:space="preserve">One nuanced finding is that the representational shift is not purely about executable Python syntax. The CodeParrot dataset contains substantial code-adjacent natural language: function docstrings, inline comments, README-like documentation, license headers, and URL strings. Features associated with these constructs also shift substantially, suggesting that fine-tuning on code reorganizes the model’s handling of natural language that accompanies code, not just the code itself.</w:t>
      </w:r>
    </w:p>
    <w:p>
      <w:r>
        <w:br w:type="page"/>
      </w:r>
    </w:p>
    <w:p>
      <w:pPr>
        <w:pBdr>
          <w:bottom w:val="single" w:color="000000" w:sz="4" w:space="4"/>
        </w:pBdr>
        <w:spacing w:after="120" w:before="360"/>
      </w:pPr>
      <w:r>
        <w:rPr>
          <w:rFonts w:ascii="Arial" w:cs="Arial" w:eastAsia="Arial" w:hAnsi="Arial"/>
          <w:b/>
          <w:bCs/>
          <w:color w:val="000000"/>
          <w:sz w:val="28"/>
          <w:szCs w:val="28"/>
        </w:rPr>
        <w:t xml:space="preserve">9. Limitations</w:t>
      </w:r>
    </w:p>
    <w:p>
      <w:pPr>
        <w:spacing w:after="80" w:before="240"/>
      </w:pPr>
      <w:r>
        <w:rPr>
          <w:rFonts w:ascii="Arial" w:cs="Arial" w:eastAsia="Arial" w:hAnsi="Arial"/>
          <w:b/>
          <w:bCs/>
          <w:color w:val="000000"/>
          <w:sz w:val="24"/>
          <w:szCs w:val="24"/>
        </w:rPr>
        <w:t xml:space="preserve">9.1 SAE Density</w:t>
      </w:r>
    </w:p>
    <w:p>
      <w:pPr>
        <w:spacing w:after="80" w:before="60"/>
        <w:jc w:val="both"/>
      </w:pPr>
      <w:r>
        <w:rPr>
          <w:rFonts w:ascii="Arial" w:cs="Arial" w:eastAsia="Arial" w:hAnsi="Arial"/>
          <w:color w:val="000000"/>
          <w:sz w:val="22"/>
          <w:szCs w:val="22"/>
        </w:rPr>
        <w:t xml:space="preserve">The most significant limitation is that both SAEs are denser than ideal for monosemantic interpretation. A mean of 320–346 active features per token means hundreds of features fire simultaneously, making it difficult to identify clean one-to-one correspondences between features and interpretable concepts. Ideally, an SAE for mechanistic interpretability should activate far fewer features (perhaps 20–50 per token), which would require a larger expansion ratio, a stronger L1 penalty, or more training data.</w:t>
      </w:r>
    </w:p>
    <w:p>
      <w:pPr>
        <w:spacing w:after="80" w:before="240"/>
      </w:pPr>
      <w:r>
        <w:rPr>
          <w:rFonts w:ascii="Arial" w:cs="Arial" w:eastAsia="Arial" w:hAnsi="Arial"/>
          <w:b/>
          <w:bCs/>
          <w:color w:val="000000"/>
          <w:sz w:val="24"/>
          <w:szCs w:val="24"/>
        </w:rPr>
        <w:t xml:space="preserve">9.2 Training Data Size</w:t>
      </w:r>
    </w:p>
    <w:p>
      <w:pPr>
        <w:spacing w:after="80" w:before="60"/>
        <w:jc w:val="both"/>
      </w:pPr>
      <w:r>
        <w:rPr>
          <w:rFonts w:ascii="Arial" w:cs="Arial" w:eastAsia="Arial" w:hAnsi="Arial"/>
          <w:color w:val="000000"/>
          <w:sz w:val="22"/>
          <w:szCs w:val="22"/>
        </w:rPr>
        <w:t xml:space="preserve">Training on 255,984 activation vectors is sufficient to build and validate the comparison pipeline but is small relative to serious SAE research, which typically uses millions to hundreds of millions of tokens. Larger training datasets would likely produce more stable, less noisy features and make the decoder cosine matching analysis more interpretable.</w:t>
      </w:r>
    </w:p>
    <w:p>
      <w:pPr>
        <w:spacing w:after="80" w:before="240"/>
      </w:pPr>
      <w:r>
        <w:rPr>
          <w:rFonts w:ascii="Arial" w:cs="Arial" w:eastAsia="Arial" w:hAnsi="Arial"/>
          <w:b/>
          <w:bCs/>
          <w:color w:val="000000"/>
          <w:sz w:val="24"/>
          <w:szCs w:val="24"/>
        </w:rPr>
        <w:t xml:space="preserve">9.3 Feature Matching Methodology</w:t>
      </w:r>
    </w:p>
    <w:p>
      <w:pPr>
        <w:spacing w:after="80" w:before="60"/>
        <w:jc w:val="both"/>
      </w:pPr>
      <w:r>
        <w:rPr>
          <w:rFonts w:ascii="Arial" w:cs="Arial" w:eastAsia="Arial" w:hAnsi="Arial"/>
          <w:color w:val="000000"/>
          <w:sz w:val="22"/>
          <w:szCs w:val="22"/>
        </w:rPr>
        <w:t xml:space="preserve">Because both SAEs were trained independently, the learned dictionaries may encode the same underlying concepts in different feature indices, or split and merge concepts differently. A more rigorous analysis would use Procrustes alignment or many-to-one matching to account for these dictionary rotation effects; a low similarity score can indicate a real model change or simply a basis rotation.</w:t>
      </w:r>
    </w:p>
    <w:p>
      <w:pPr>
        <w:spacing w:after="80" w:before="240"/>
      </w:pPr>
      <w:r>
        <w:rPr>
          <w:rFonts w:ascii="Arial" w:cs="Arial" w:eastAsia="Arial" w:hAnsi="Arial"/>
          <w:b/>
          <w:bCs/>
          <w:color w:val="000000"/>
          <w:sz w:val="24"/>
          <w:szCs w:val="24"/>
        </w:rPr>
        <w:t xml:space="preserve">9.4 Causal Claims</w:t>
      </w:r>
    </w:p>
    <w:p>
      <w:pPr>
        <w:spacing w:after="80" w:before="60"/>
        <w:jc w:val="both"/>
      </w:pPr>
      <w:r>
        <w:rPr>
          <w:rFonts w:ascii="Arial" w:cs="Arial" w:eastAsia="Arial" w:hAnsi="Arial"/>
          <w:color w:val="000000"/>
          <w:sz w:val="22"/>
          <w:szCs w:val="22"/>
        </w:rPr>
        <w:t xml:space="preserve">All analyses here are observational rather than causal. We can identify which features changed most and which tokens are associated with high drift, but we cannot directly claim that any specific feature causes specific model behaviors. Establishing causal claims would require activation patching or ablation experiments—for example, showing that ablating the top-drifting features degrades performance on Python-specific predictions.</w:t>
      </w:r>
    </w:p>
    <w:p>
      <w:pPr>
        <w:spacing w:after="80" w:before="240"/>
      </w:pPr>
      <w:r>
        <w:rPr>
          <w:rFonts w:ascii="Arial" w:cs="Arial" w:eastAsia="Arial" w:hAnsi="Arial"/>
          <w:b/>
          <w:bCs/>
          <w:color w:val="000000"/>
          <w:sz w:val="24"/>
          <w:szCs w:val="24"/>
        </w:rPr>
        <w:t xml:space="preserve">9.5 Single Layer</w:t>
      </w:r>
    </w:p>
    <w:p>
      <w:pPr>
        <w:spacing w:after="80" w:before="60"/>
        <w:jc w:val="both"/>
      </w:pPr>
      <w:r>
        <w:rPr>
          <w:rFonts w:ascii="Arial" w:cs="Arial" w:eastAsia="Arial" w:hAnsi="Arial"/>
          <w:color w:val="000000"/>
          <w:sz w:val="22"/>
          <w:szCs w:val="22"/>
        </w:rPr>
        <w:t xml:space="preserve">This study focuses exclusively on Layer 6. A complete picture of how fine-tuning affects the model would require analyzing all layers, which might reveal that different layers are affected to different degrees and in different ways.</w:t>
      </w:r>
    </w:p>
    <w:p>
      <w:pPr>
        <w:pBdr>
          <w:bottom w:val="single" w:color="000000" w:sz="4" w:space="4"/>
        </w:pBdr>
        <w:spacing w:after="120" w:before="360"/>
      </w:pPr>
      <w:r>
        <w:rPr>
          <w:rFonts w:ascii="Arial" w:cs="Arial" w:eastAsia="Arial" w:hAnsi="Arial"/>
          <w:b/>
          <w:bCs/>
          <w:color w:val="000000"/>
          <w:sz w:val="28"/>
          <w:szCs w:val="28"/>
        </w:rPr>
        <w:t xml:space="preserve">10. Future Work</w:t>
      </w:r>
    </w:p>
    <w:p>
      <w:pPr>
        <w:spacing w:after="80" w:before="60"/>
        <w:jc w:val="both"/>
      </w:pPr>
      <w:r>
        <w:rPr>
          <w:rFonts w:ascii="Arial" w:cs="Arial" w:eastAsia="Arial" w:hAnsi="Arial"/>
          <w:color w:val="000000"/>
          <w:sz w:val="22"/>
          <w:szCs w:val="22"/>
        </w:rPr>
        <w:t xml:space="preserve">Several directions would substantially strengthen and extend these findings:</w:t>
      </w:r>
    </w:p>
    <w:p>
      <w:pPr>
        <w:spacing w:after="0" w:before="40"/>
      </w:pPr>
      <w:r>
        <w:t xml:space="preserve"/>
      </w:r>
    </w:p>
    <w:p>
      <w:pPr>
        <w:pStyle w:val="ListParagraph"/>
        <w:numPr>
          <w:ilvl w:val="0"/>
          <w:numId w:val="2"/>
        </w:numPr>
        <w:spacing w:after="40" w:before="40"/>
      </w:pPr>
      <w:r>
        <w:rPr>
          <w:rFonts w:ascii="Arial" w:cs="Arial" w:eastAsia="Arial" w:hAnsi="Arial"/>
          <w:color w:val="000000"/>
          <w:sz w:val="22"/>
          <w:szCs w:val="22"/>
        </w:rPr>
        <w:t xml:space="preserve">Train SAEs on larger activation datasets (millions of tokens) to improve feature stability and enable cleaner monosemantic interpretation, and run multiple seeds to check feature reproducibility.</w:t>
      </w:r>
    </w:p>
    <w:p>
      <w:pPr>
        <w:pStyle w:val="ListParagraph"/>
        <w:numPr>
          <w:ilvl w:val="0"/>
          <w:numId w:val="2"/>
        </w:numPr>
        <w:spacing w:after="40" w:before="40"/>
      </w:pPr>
      <w:r>
        <w:rPr>
          <w:rFonts w:ascii="Arial" w:cs="Arial" w:eastAsia="Arial" w:hAnsi="Arial"/>
          <w:color w:val="000000"/>
          <w:sz w:val="22"/>
          <w:szCs w:val="22"/>
        </w:rPr>
        <w:t xml:space="preserve">Apply Procrustes alignment and many-to-one feature matching to better account for dictionary rotation effects between independently trained SAEs, potentially revealing feature merging and splitting patterns.</w:t>
      </w:r>
    </w:p>
    <w:p>
      <w:pPr>
        <w:pStyle w:val="ListParagraph"/>
        <w:numPr>
          <w:ilvl w:val="0"/>
          <w:numId w:val="2"/>
        </w:numPr>
        <w:spacing w:after="40" w:before="40"/>
      </w:pPr>
      <w:r>
        <w:rPr>
          <w:rFonts w:ascii="Arial" w:cs="Arial" w:eastAsia="Arial" w:hAnsi="Arial"/>
          <w:color w:val="000000"/>
          <w:sz w:val="22"/>
          <w:szCs w:val="22"/>
        </w:rPr>
        <w:t xml:space="preserve">Conduct causal experiments using activation patching and feature ablation to establish direct links between specific features and model behaviors, moving from observational to mechanistic claims.</w:t>
      </w:r>
    </w:p>
    <w:p>
      <w:pPr>
        <w:pStyle w:val="ListParagraph"/>
        <w:numPr>
          <w:ilvl w:val="0"/>
          <w:numId w:val="2"/>
        </w:numPr>
        <w:spacing w:after="40" w:before="40"/>
      </w:pPr>
      <w:r>
        <w:rPr>
          <w:rFonts w:ascii="Arial" w:cs="Arial" w:eastAsia="Arial" w:hAnsi="Arial"/>
          <w:color w:val="000000"/>
          <w:sz w:val="22"/>
          <w:szCs w:val="22"/>
        </w:rPr>
        <w:t xml:space="preserve">Extend the analysis to all 12 layers of Pythia-160M to characterize how fine-tuning affects different depths of the network, testing the hypothesis that later layers show larger domain-specific drift.</w:t>
      </w:r>
    </w:p>
    <w:p>
      <w:pPr>
        <w:pStyle w:val="ListParagraph"/>
        <w:numPr>
          <w:ilvl w:val="0"/>
          <w:numId w:val="2"/>
        </w:numPr>
        <w:spacing w:after="40" w:before="40"/>
      </w:pPr>
      <w:r>
        <w:rPr>
          <w:rFonts w:ascii="Arial" w:cs="Arial" w:eastAsia="Arial" w:hAnsi="Arial"/>
          <w:color w:val="000000"/>
          <w:sz w:val="22"/>
          <w:szCs w:val="22"/>
        </w:rPr>
        <w:t xml:space="preserve">Implement adaptive SAE training with dynamic feature allocation: start small, identify high-reconstruction-error regions, add features there, and prune dead or redundant features, letting the data determine the appropriate dictionary size.</w:t>
      </w:r>
    </w:p>
    <w:p>
      <w:pPr>
        <w:pStyle w:val="ListParagraph"/>
        <w:numPr>
          <w:ilvl w:val="0"/>
          <w:numId w:val="2"/>
        </w:numPr>
        <w:spacing w:after="40" w:before="40"/>
      </w:pPr>
      <w:r>
        <w:rPr>
          <w:rFonts w:ascii="Arial" w:cs="Arial" w:eastAsia="Arial" w:hAnsi="Arial"/>
          <w:color w:val="000000"/>
          <w:sz w:val="22"/>
          <w:szCs w:val="22"/>
        </w:rPr>
        <w:t xml:space="preserve">Expand the unrelated-domain evaluation with large held-out sets of general English, medical, and legal text to quantify whether code fine-tuning quietly shifts representations for unrelated domains.</w:t>
      </w:r>
    </w:p>
    <w:p>
      <w:r>
        <w:br w:type="page"/>
      </w:r>
    </w:p>
    <w:p>
      <w:pPr>
        <w:pBdr>
          <w:bottom w:val="single" w:color="000000" w:sz="4" w:space="4"/>
        </w:pBdr>
        <w:spacing w:after="120" w:before="360"/>
      </w:pPr>
      <w:r>
        <w:rPr>
          <w:rFonts w:ascii="Arial" w:cs="Arial" w:eastAsia="Arial" w:hAnsi="Arial"/>
          <w:b/>
          <w:bCs/>
          <w:color w:val="000000"/>
          <w:sz w:val="28"/>
          <w:szCs w:val="28"/>
        </w:rPr>
        <w:t xml:space="preserve">11. Conclusion</w:t>
      </w:r>
    </w:p>
    <w:p>
      <w:pPr>
        <w:spacing w:after="80" w:before="60"/>
        <w:jc w:val="both"/>
      </w:pPr>
      <w:r>
        <w:rPr>
          <w:rFonts w:ascii="Arial" w:cs="Arial" w:eastAsia="Arial" w:hAnsi="Arial"/>
          <w:color w:val="000000"/>
          <w:sz w:val="22"/>
          <w:szCs w:val="22"/>
        </w:rPr>
        <w:t xml:space="preserve">This paper presented a mechanistic interpretability study of how Python code fine-tuning affects the internal representations of Pythia-160M’s Layer 6 residual stream. Using Sparse Autoencoders trained on identical code tokens from the CodeParrot-Clean dataset, we constructed a four-way reconstruction transfer matrix and performed activation drift, token-level drift, and sparse feature drift analyses.</w:t>
      </w:r>
    </w:p>
    <w:p>
      <w:pPr>
        <w:spacing w:after="80" w:before="60"/>
        <w:jc w:val="both"/>
      </w:pPr>
      <w:r>
        <w:rPr>
          <w:rFonts w:ascii="Arial" w:cs="Arial" w:eastAsia="Arial" w:hAnsi="Arial"/>
          <w:color w:val="000000"/>
          <w:sz w:val="22"/>
          <w:szCs w:val="22"/>
        </w:rPr>
        <w:t xml:space="preserve">Our central finding is that fine-tuning does not merely adjust output probabilities: it reorganizes the internal feature basis. The transfer matrix shows a 3–4× degradation in cross-domain reconstruction loss. Activation drift analysis reveals that the average token’s representation moves by approximately 44% of its typical norm. Token-level analysis shows this drift is concentrated around Python-specific constructs. Sparse feature drift analysis confirms the change is selective: a small subset of SAE features change dramatically while most are relatively stable.</w:t>
      </w:r>
    </w:p>
    <w:p>
      <w:pPr>
        <w:spacing w:after="80" w:before="60"/>
        <w:jc w:val="both"/>
      </w:pPr>
      <w:r>
        <w:rPr>
          <w:rFonts w:ascii="Arial" w:cs="Arial" w:eastAsia="Arial" w:hAnsi="Arial"/>
          <w:color w:val="000000"/>
          <w:sz w:val="22"/>
          <w:szCs w:val="22"/>
        </w:rPr>
        <w:t xml:space="preserve">The consistent story across four independent analyses supports the conclusion that Python fine-tuning induces a structured, domain-aligned representational reorganization in the model’s middle layer. The features that change most are precisely those that need to change to support competent Python code prediction; the features that remain stable encode universal linguistic properties useful across domains.</w:t>
      </w:r>
    </w:p>
    <w:p>
      <w:pPr>
        <w:spacing w:after="0" w:before="120"/>
      </w:pPr>
      <w:r>
        <w:t xml:space="preserve"/>
      </w:r>
    </w:p>
    <w:p>
      <w:pPr>
        <w:spacing w:after="80" w:before="240"/>
      </w:pPr>
      <w:r>
        <w:rPr>
          <w:rFonts w:ascii="Arial" w:cs="Arial" w:eastAsia="Arial" w:hAnsi="Arial"/>
          <w:b/>
          <w:bCs/>
          <w:color w:val="000000"/>
          <w:sz w:val="24"/>
          <w:szCs w:val="24"/>
        </w:rPr>
        <w:t xml:space="preserve">Summary of Key Quantitative Findings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Finding</w:t>
            </w:r>
          </w:p>
        </w:tc>
        <w:tc>
          <w:tcPr>
            <w:tcW w:type="dxa" w:w="5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tcPr>
          <w:p>
            <w:r>
              <w:rPr>
                <w:rFonts w:ascii="Arial" w:cs="Arial" w:eastAsia="Arial" w:hAnsi="Arial"/>
                <w:b/>
                <w:bCs/>
                <w:color w:val="FFFFFF"/>
                <w:sz w:val="20"/>
                <w:szCs w:val="20"/>
              </w:rPr>
              <w:t xml:space="preserve">Key Evidence</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Cross-domain reconstruction degrades 3–4×</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Within-domain ~0.087; cross-domain 0.257–0.355</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Mean activation drift = 44% of norm</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Drift = 8.93 vs. mean norm = 20.36</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Drift is domain-aligned, not random</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self, import, #, """ dominate token drift</w:t>
            </w:r>
          </w:p>
        </w:tc>
      </w:tr>
      <w:tr>
        <w:tc>
          <w:tcPr>
            <w:tcW w:type="dxa" w:w="360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Only a minority of features change dramatically</w:t>
            </w:r>
          </w:p>
        </w:tc>
        <w:tc>
          <w:tcPr>
            <w:tcW w:type="dxa" w:w="5760"/>
            <w:tcBorders>
              <w:top w:val="single" w:color="000000" w:sz="4"/>
              <w:left w:val="single" w:color="000000" w:sz="4"/>
              <w:bottom w:val="single" w:color="000000" w:sz="4"/>
              <w:right w:val="single" w:color="000000" w:sz="4"/>
            </w:tcBorders>
            <w:shd w:fill="EEEEEE" w:val="clear"/>
            <w:tcMar>
              <w:top w:type="dxa" w:w="80"/>
              <w:left w:type="dxa" w:w="140"/>
              <w:bottom w:type="dxa" w:w="80"/>
              <w:right w:type="dxa" w:w="140"/>
            </w:tcMar>
          </w:tcPr>
          <w:p>
            <w:r>
              <w:rPr>
                <w:rFonts w:ascii="Arial" w:cs="Arial" w:eastAsia="Arial" w:hAnsi="Arial"/>
                <w:b w:val="false"/>
                <w:bCs w:val="false"/>
                <w:color w:val="000000"/>
                <w:sz w:val="20"/>
                <w:szCs w:val="20"/>
              </w:rPr>
              <w:t xml:space="preserve">Skewed feature drift: few large, many small</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Change is consistent across all four analyses</w:t>
            </w:r>
          </w:p>
        </w:tc>
        <w:tc>
          <w:tcPr>
            <w:tcW w:type="dxa" w:w="5760"/>
            <w:tcBorders>
              <w:top w:val="single" w:color="000000" w:sz="4"/>
              <w:left w:val="single" w:color="000000" w:sz="4"/>
              <w:bottom w:val="single" w:color="000000" w:sz="4"/>
              <w:right w:val="single" w:color="000000" w:sz="4"/>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Transfer matrix, activation, token, and feature drift all agree</w:t>
            </w:r>
          </w:p>
        </w:tc>
      </w:tr>
    </w:tbl>
    <w:p>
      <w:pPr>
        <w:spacing w:after="0" w:before="160"/>
      </w:pPr>
      <w:r>
        <w:t xml:space="preserve"/>
      </w:r>
    </w:p>
    <w:p>
      <w:pPr>
        <w:pBdr>
          <w:bottom w:val="single" w:color="000000" w:sz="4" w:space="4"/>
        </w:pBdr>
        <w:spacing w:after="120" w:before="360"/>
      </w:pPr>
      <w:r>
        <w:rPr>
          <w:rFonts w:ascii="Arial" w:cs="Arial" w:eastAsia="Arial" w:hAnsi="Arial"/>
          <w:b/>
          <w:bCs/>
          <w:color w:val="000000"/>
          <w:sz w:val="28"/>
          <w:szCs w:val="28"/>
        </w:rPr>
        <w:t xml:space="preserve">References</w:t>
      </w:r>
    </w:p>
    <w:p>
      <w:pPr>
        <w:spacing w:after="80" w:before="60"/>
        <w:jc w:val="left"/>
      </w:pPr>
      <w:r>
        <w:rPr>
          <w:rFonts w:ascii="Arial" w:cs="Arial" w:eastAsia="Arial" w:hAnsi="Arial"/>
          <w:color w:val="000000"/>
          <w:sz w:val="22"/>
          <w:szCs w:val="22"/>
        </w:rPr>
        <w:t xml:space="preserve">Bricken, T., Templeton, A., Batson, J., et al. (2023). Towards monosemanticity: Decomposing language models with dictionary learning. Anthropic Transformer Circuits Thread.</w:t>
      </w:r>
    </w:p>
    <w:p>
      <w:pPr>
        <w:spacing w:after="0" w:before="40"/>
      </w:pPr>
      <w:r>
        <w:t xml:space="preserve"/>
      </w:r>
    </w:p>
    <w:p>
      <w:pPr>
        <w:spacing w:after="80" w:before="60"/>
        <w:jc w:val="left"/>
      </w:pPr>
      <w:r>
        <w:rPr>
          <w:rFonts w:ascii="Arial" w:cs="Arial" w:eastAsia="Arial" w:hAnsi="Arial"/>
          <w:color w:val="000000"/>
          <w:sz w:val="22"/>
          <w:szCs w:val="22"/>
        </w:rPr>
        <w:t xml:space="preserve">Biderman, S., Schoelkopf, H., Anthony, Q., et al. (2023). Pythia: A suite for analyzing large language models across training and scaling. Proceedings of ICML 2023.</w:t>
      </w:r>
    </w:p>
    <w:p>
      <w:pPr>
        <w:spacing w:after="0" w:before="40"/>
      </w:pPr>
      <w:r>
        <w:t xml:space="preserve"/>
      </w:r>
    </w:p>
    <w:p>
      <w:pPr>
        <w:spacing w:after="80" w:before="60"/>
        <w:jc w:val="left"/>
      </w:pPr>
      <w:r>
        <w:rPr>
          <w:rFonts w:ascii="Arial" w:cs="Arial" w:eastAsia="Arial" w:hAnsi="Arial"/>
          <w:color w:val="000000"/>
          <w:sz w:val="22"/>
          <w:szCs w:val="22"/>
        </w:rPr>
        <w:t xml:space="preserve">Elhage, N., Henighan, T., Joseph, N., et al. (2022). Toy models of superposition. Anthropic Transformer Circuits Thread.</w:t>
      </w:r>
    </w:p>
    <w:p>
      <w:pPr>
        <w:spacing w:after="0" w:before="40"/>
      </w:pPr>
      <w:r>
        <w:t xml:space="preserve"/>
      </w:r>
    </w:p>
    <w:p>
      <w:pPr>
        <w:spacing w:after="80" w:before="60"/>
        <w:jc w:val="left"/>
      </w:pPr>
      <w:r>
        <w:rPr>
          <w:rFonts w:ascii="Arial" w:cs="Arial" w:eastAsia="Arial" w:hAnsi="Arial"/>
          <w:color w:val="000000"/>
          <w:sz w:val="22"/>
          <w:szCs w:val="22"/>
        </w:rPr>
        <w:t xml:space="preserve">Bloom, J. (2023). SAELens: A library for training and analyzing sparse autoencoders. GitHub repository.</w:t>
      </w:r>
    </w:p>
    <w:p>
      <w:pPr>
        <w:spacing w:after="0" w:before="40"/>
      </w:pPr>
      <w:r>
        <w:t xml:space="preserve"/>
      </w:r>
    </w:p>
    <w:p>
      <w:pPr>
        <w:spacing w:after="80" w:before="60"/>
        <w:jc w:val="left"/>
      </w:pPr>
      <w:r>
        <w:rPr>
          <w:rFonts w:ascii="Arial" w:cs="Arial" w:eastAsia="Arial" w:hAnsi="Arial"/>
          <w:color w:val="000000"/>
          <w:sz w:val="22"/>
          <w:szCs w:val="22"/>
        </w:rPr>
        <w:t xml:space="preserve">EleutherAI. (2023). CodeParrot-Clean dataset. Hugging Face Datasets Hub (codeparrot/codeparrot-clean).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360"/>
      </w:tabs>
    </w:pPr>
    <w:r>
      <w:rPr>
        <w:rFonts w:ascii="Arial" w:cs="Arial" w:eastAsia="Arial" w:hAnsi="Arial"/>
        <w:color w:val="000000"/>
        <w:sz w:val="18"/>
        <w:szCs w:val="18"/>
      </w:rPr>
      <w:t xml:space="preserve">Darsh Kuchhal  |  AIMS DTU Research Intern 2026</w:t>
    </w:r>
    <w:r>
      <w:rPr>
        <w:rFonts w:ascii="Arial" w:cs="Arial" w:eastAsia="Arial" w:hAnsi="Arial"/>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8"/>
        <w:szCs w:val="18"/>
      </w:rPr>
      <w:t xml:space="preserve">Mechanistic Interpretability: Feature Changes in Pythia-160M After Code Fine-Tuning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2026-06-04T10:22:37.073Z</dcterms:created>
  <dcterms:modified xsi:type="dcterms:W3CDTF">2026-06-04T10:22:37.073Z</dcterms:modified>
</cp:coreProperties>
</file>

<file path=docProps/custom.xml><?xml version="1.0" encoding="utf-8"?>
<Properties xmlns="http://schemas.openxmlformats.org/officeDocument/2006/custom-properties" xmlns:vt="http://schemas.openxmlformats.org/officeDocument/2006/docPropsVTypes"/>
</file>