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Noto Sans KR" w:hAnsi="Noto Sans KR" w:eastAsia="Noto Sans KR" w:cs="Noto Sans KR"/>
          <w:color w:val="000000"/>
          <w:sz w:val="21"/>
        </w:rPr>
        <w:t>[서식 1] 작품 요약서     ※ A4용지 1장 분량을 넘어서는 안됨.</w:t>
      </w:r>
    </w:p>
    <w:p>
      <w:pPr>
        <w:spacing w:after="160"/>
        <w:jc w:val="center"/>
      </w:pPr>
      <w:r>
        <w:rPr>
          <w:rFonts w:ascii="Noto Sans KR" w:hAnsi="Noto Sans KR" w:eastAsia="Noto Sans KR" w:cs="Noto Sans KR"/>
          <w:b/>
          <w:sz w:val="44"/>
        </w:rPr>
        <w:t>작품 요약서</w:t>
      </w:r>
    </w:p>
    <w:tbl>
      <w:tblPr>
        <w:tblW w:type="dxa" w:w="9360"/>
        <w:jc w:val="center"/>
        <w:tblLayout w:type="fixed"/>
        <w:tblLook w:firstColumn="1" w:firstRow="1" w:lastColumn="0" w:lastRow="0" w:noHBand="0" w:noVBand="1" w:val="04A0"/>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700"/>
        <w:gridCol w:w="3600"/>
        <w:gridCol w:w="4060"/>
      </w:tblGrid>
      <w:tr>
        <w:trPr>
          <w:cantSplit/>
        </w:trPr>
        <w:tc>
          <w:tcPr>
            <w:tcW w:type="dxa" w:w="1700"/>
            <w:tcMar>
              <w:top w:w="65" w:type="dxa"/>
              <w:start w:w="100" w:type="dxa"/>
              <w:bottom w:w="65" w:type="dxa"/>
              <w:end w:w="100" w:type="dxa"/>
            </w:tcMar>
            <w:vAlign w:val="center"/>
            <w:shd w:fill="D9D9D9"/>
          </w:tcPr>
          <w:p>
            <w:pPr>
              <w:widowControl w:val="0"/>
              <w:spacing w:before="0" w:after="0" w:line="240" w:lineRule="auto"/>
              <w:jc w:val="center"/>
            </w:pPr>
            <w:r/>
            <w:r>
              <w:rPr>
                <w:rFonts w:ascii="Noto Sans KR" w:hAnsi="Noto Sans KR" w:eastAsia="Noto Sans KR" w:cs="Noto Sans KR"/>
                <w:b/>
                <w:color w:val="000000"/>
                <w:sz w:val="21"/>
              </w:rPr>
              <w:t>팀명</w:t>
            </w:r>
          </w:p>
        </w:tc>
        <w:tc>
          <w:tcPr>
            <w:tcW w:type="dxa" w:w="7660"/>
            <w:gridSpan w:val="2"/>
            <w:tcMar>
              <w:top w:w="65" w:type="dxa"/>
              <w:start w:w="100" w:type="dxa"/>
              <w:bottom w:w="65" w:type="dxa"/>
              <w:end w:w="100" w:type="dxa"/>
            </w:tcMar>
            <w:vAlign w:val="center"/>
          </w:tcPr>
          <w:p>
            <w:pPr>
              <w:widowControl w:val="0"/>
              <w:spacing w:before="0" w:after="0" w:line="240" w:lineRule="auto"/>
              <w:jc w:val="left"/>
            </w:pPr>
            <w:r/>
            <w:r>
              <w:rPr>
                <w:rFonts w:ascii="Noto Sans KR" w:hAnsi="Noto Sans KR" w:eastAsia="Noto Sans KR" w:cs="Noto Sans KR"/>
                <w:b/>
                <w:color w:val="000000"/>
                <w:sz w:val="21"/>
              </w:rPr>
              <w:t>innovation</w:t>
            </w:r>
          </w:p>
        </w:tc>
      </w:tr>
      <w:tr>
        <w:trPr>
          <w:cantSplit/>
        </w:trPr>
        <w:tc>
          <w:tcPr>
            <w:tcW w:type="dxa" w:w="1700"/>
            <w:tcMar>
              <w:top w:w="65" w:type="dxa"/>
              <w:start w:w="100" w:type="dxa"/>
              <w:bottom w:w="65" w:type="dxa"/>
              <w:end w:w="100" w:type="dxa"/>
            </w:tcMar>
            <w:vAlign w:val="center"/>
            <w:shd w:fill="D9D9D9"/>
          </w:tcPr>
          <w:p>
            <w:pPr>
              <w:widowControl w:val="0"/>
              <w:spacing w:before="0" w:after="0" w:line="240" w:lineRule="auto"/>
              <w:jc w:val="center"/>
            </w:pPr>
            <w:r/>
            <w:r>
              <w:rPr>
                <w:rFonts w:ascii="Noto Sans KR" w:hAnsi="Noto Sans KR" w:eastAsia="Noto Sans KR" w:cs="Noto Sans KR"/>
                <w:b/>
                <w:color w:val="000000"/>
                <w:sz w:val="21"/>
              </w:rPr>
              <w:t>작품명</w:t>
            </w:r>
          </w:p>
        </w:tc>
        <w:tc>
          <w:tcPr>
            <w:tcW w:type="dxa" w:w="7660"/>
            <w:gridSpan w:val="2"/>
            <w:tcMar>
              <w:top w:w="65" w:type="dxa"/>
              <w:start w:w="100" w:type="dxa"/>
              <w:bottom w:w="65" w:type="dxa"/>
              <w:end w:w="100" w:type="dxa"/>
            </w:tcMar>
            <w:vAlign w:val="center"/>
          </w:tcPr>
          <w:p>
            <w:pPr>
              <w:widowControl w:val="0"/>
              <w:spacing w:before="0" w:after="0" w:line="240" w:lineRule="auto"/>
              <w:jc w:val="left"/>
            </w:pPr>
            <w:r/>
            <w:r>
              <w:rPr>
                <w:rFonts w:ascii="Noto Sans KR" w:hAnsi="Noto Sans KR" w:eastAsia="Noto Sans KR" w:cs="Noto Sans KR"/>
                <w:b/>
                <w:color w:val="000000"/>
                <w:sz w:val="21"/>
              </w:rPr>
              <w:t>FactLens (AI Auditor)</w:t>
            </w:r>
          </w:p>
        </w:tc>
      </w:tr>
      <w:tr>
        <w:trPr>
          <w:cantSplit/>
        </w:trPr>
        <w:tc>
          <w:tcPr>
            <w:tcW w:type="dxa" w:w="1700"/>
            <w:tcMar>
              <w:top w:w="65" w:type="dxa"/>
              <w:start w:w="100" w:type="dxa"/>
              <w:bottom w:w="65" w:type="dxa"/>
              <w:end w:w="100" w:type="dxa"/>
            </w:tcMar>
            <w:vAlign w:val="center"/>
            <w:shd w:fill="D9D9D9"/>
          </w:tcPr>
          <w:p>
            <w:pPr>
              <w:widowControl w:val="0"/>
              <w:spacing w:before="0" w:after="0" w:line="240" w:lineRule="auto"/>
              <w:jc w:val="center"/>
            </w:pPr>
            <w:r/>
            <w:r>
              <w:rPr>
                <w:rFonts w:ascii="Noto Sans KR" w:hAnsi="Noto Sans KR" w:eastAsia="Noto Sans KR" w:cs="Noto Sans KR"/>
                <w:b/>
                <w:color w:val="000000"/>
                <w:sz w:val="20"/>
              </w:rPr>
              <w:t>구분</w:t>
            </w:r>
          </w:p>
        </w:tc>
        <w:tc>
          <w:tcPr>
            <w:tcW w:type="dxa" w:w="3600"/>
            <w:tcMar>
              <w:top w:w="65" w:type="dxa"/>
              <w:start w:w="100" w:type="dxa"/>
              <w:bottom w:w="65" w:type="dxa"/>
              <w:end w:w="100" w:type="dxa"/>
            </w:tcMar>
            <w:vAlign w:val="center"/>
            <w:shd w:fill="D9D9D9"/>
          </w:tcPr>
          <w:p>
            <w:pPr>
              <w:widowControl w:val="0"/>
              <w:spacing w:before="0" w:after="0" w:line="240" w:lineRule="auto"/>
              <w:jc w:val="center"/>
            </w:pPr>
            <w:r/>
            <w:r>
              <w:rPr>
                <w:rFonts w:ascii="Noto Sans KR" w:hAnsi="Noto Sans KR" w:eastAsia="Noto Sans KR" w:cs="Noto Sans KR"/>
                <w:b/>
                <w:color w:val="000000"/>
                <w:sz w:val="20"/>
              </w:rPr>
              <w:t>성 명</w:t>
            </w:r>
          </w:p>
        </w:tc>
        <w:tc>
          <w:tcPr>
            <w:tcW w:type="dxa" w:w="4060"/>
            <w:tcMar>
              <w:top w:w="65" w:type="dxa"/>
              <w:start w:w="100" w:type="dxa"/>
              <w:bottom w:w="65" w:type="dxa"/>
              <w:end w:w="100" w:type="dxa"/>
            </w:tcMar>
            <w:vAlign w:val="center"/>
            <w:shd w:fill="D9D9D9"/>
          </w:tcPr>
          <w:p>
            <w:pPr>
              <w:widowControl w:val="0"/>
              <w:spacing w:before="0" w:after="0" w:line="240" w:lineRule="auto"/>
              <w:jc w:val="center"/>
            </w:pPr>
            <w:r/>
            <w:r>
              <w:rPr>
                <w:rFonts w:ascii="Noto Sans KR" w:hAnsi="Noto Sans KR" w:eastAsia="Noto Sans KR" w:cs="Noto Sans KR"/>
                <w:b/>
                <w:color w:val="000000"/>
                <w:sz w:val="20"/>
              </w:rPr>
              <w:t>소 속</w:t>
            </w:r>
          </w:p>
        </w:tc>
      </w:tr>
      <w:tr>
        <w:trPr>
          <w:cantSplit/>
        </w:trPr>
        <w:tc>
          <w:tcPr>
            <w:tcW w:type="dxa" w:w="1700"/>
            <w:vMerge w:val="restart"/>
            <w:tcMar>
              <w:top w:w="65" w:type="dxa"/>
              <w:start w:w="100" w:type="dxa"/>
              <w:bottom w:w="65" w:type="dxa"/>
              <w:end w:w="100" w:type="dxa"/>
            </w:tcMar>
            <w:vAlign w:val="center"/>
            <w:shd w:fill="D9D9D9"/>
          </w:tcPr>
          <w:p>
            <w:pPr>
              <w:widowControl w:val="0"/>
              <w:spacing w:before="0" w:after="0" w:line="240" w:lineRule="auto"/>
              <w:jc w:val="center"/>
            </w:pPr>
            <w:r/>
            <w:r>
              <w:rPr>
                <w:rFonts w:ascii="Noto Sans KR" w:hAnsi="Noto Sans KR" w:eastAsia="Noto Sans KR" w:cs="Noto Sans KR"/>
                <w:b/>
                <w:color w:val="000000"/>
                <w:sz w:val="20"/>
              </w:rPr>
              <w:t>참가자</w:t>
            </w:r>
          </w:p>
        </w:tc>
        <w:tc>
          <w:tcPr>
            <w:tcW w:type="dxa" w:w="3600"/>
            <w:tcMar>
              <w:top w:w="65" w:type="dxa"/>
              <w:start w:w="100" w:type="dxa"/>
              <w:bottom w:w="65" w:type="dxa"/>
              <w:end w:w="100" w:type="dxa"/>
            </w:tcMar>
            <w:vAlign w:val="center"/>
          </w:tcPr>
          <w:p>
            <w:pPr>
              <w:widowControl w:val="0"/>
              <w:spacing w:before="0" w:after="0" w:line="240" w:lineRule="auto"/>
              <w:jc w:val="center"/>
            </w:pPr>
            <w:r/>
            <w:r>
              <w:rPr>
                <w:rFonts w:ascii="Noto Sans KR" w:hAnsi="Noto Sans KR" w:eastAsia="Noto Sans KR" w:cs="Noto Sans KR"/>
                <w:b w:val="0"/>
                <w:color w:val="000000"/>
                <w:sz w:val="20"/>
              </w:rPr>
              <w:t>송지율</w:t>
            </w:r>
          </w:p>
        </w:tc>
        <w:tc>
          <w:tcPr>
            <w:tcW w:type="dxa" w:w="4060"/>
            <w:tcMar>
              <w:top w:w="65" w:type="dxa"/>
              <w:start w:w="100" w:type="dxa"/>
              <w:bottom w:w="65" w:type="dxa"/>
              <w:end w:w="100" w:type="dxa"/>
            </w:tcMar>
            <w:vAlign w:val="center"/>
          </w:tcPr>
          <w:p>
            <w:pPr>
              <w:widowControl w:val="0"/>
              <w:spacing w:before="0" w:after="0" w:line="240" w:lineRule="auto"/>
              <w:jc w:val="center"/>
            </w:pPr>
            <w:r/>
            <w:r>
              <w:rPr>
                <w:rFonts w:ascii="Noto Sans KR" w:hAnsi="Noto Sans KR" w:eastAsia="Noto Sans KR" w:cs="Noto Sans KR"/>
                <w:b w:val="0"/>
                <w:color w:val="000000"/>
                <w:sz w:val="20"/>
              </w:rPr>
              <w:t>인천전자마이스터고</w:t>
            </w:r>
          </w:p>
        </w:tc>
      </w:tr>
      <w:tr>
        <w:trPr>
          <w:cantSplit/>
        </w:trPr>
        <w:tc>
          <w:tcPr>
            <w:tcW w:type="dxa" w:w="1700"/>
            <w:vMerge/>
            <w:tcMar>
              <w:top w:w="80" w:type="dxa"/>
              <w:start w:w="110" w:type="dxa"/>
              <w:bottom w:w="80" w:type="dxa"/>
              <w:end w:w="110" w:type="dxa"/>
            </w:tcMar>
            <w:vAlign w:val="center"/>
          </w:tcPr>
          <w:p/>
        </w:tc>
        <w:tc>
          <w:tcPr>
            <w:tcW w:type="dxa" w:w="3600"/>
            <w:tcMar>
              <w:top w:w="65" w:type="dxa"/>
              <w:start w:w="100" w:type="dxa"/>
              <w:bottom w:w="65" w:type="dxa"/>
              <w:end w:w="100" w:type="dxa"/>
            </w:tcMar>
            <w:vAlign w:val="center"/>
          </w:tcPr>
          <w:p>
            <w:pPr>
              <w:widowControl w:val="0"/>
              <w:spacing w:before="0" w:after="0" w:line="240" w:lineRule="auto"/>
              <w:jc w:val="center"/>
            </w:pPr>
            <w:r/>
            <w:r>
              <w:rPr>
                <w:rFonts w:ascii="Noto Sans KR" w:hAnsi="Noto Sans KR" w:eastAsia="Noto Sans KR" w:cs="Noto Sans KR"/>
                <w:b w:val="0"/>
                <w:color w:val="000000"/>
                <w:sz w:val="20"/>
              </w:rPr>
              <w:t>송성재</w:t>
            </w:r>
          </w:p>
        </w:tc>
        <w:tc>
          <w:tcPr>
            <w:tcW w:type="dxa" w:w="4060"/>
            <w:tcMar>
              <w:top w:w="65" w:type="dxa"/>
              <w:start w:w="100" w:type="dxa"/>
              <w:bottom w:w="65" w:type="dxa"/>
              <w:end w:w="100" w:type="dxa"/>
            </w:tcMar>
            <w:vAlign w:val="center"/>
          </w:tcPr>
          <w:p>
            <w:pPr>
              <w:widowControl w:val="0"/>
              <w:spacing w:before="0" w:after="0" w:line="240" w:lineRule="auto"/>
              <w:jc w:val="center"/>
            </w:pPr>
            <w:r/>
            <w:r>
              <w:rPr>
                <w:rFonts w:ascii="Noto Sans KR" w:hAnsi="Noto Sans KR" w:eastAsia="Noto Sans KR" w:cs="Noto Sans KR"/>
                <w:b w:val="0"/>
                <w:color w:val="000000"/>
                <w:sz w:val="20"/>
              </w:rPr>
              <w:t>인천전자마이스터고</w:t>
            </w:r>
          </w:p>
        </w:tc>
      </w:tr>
      <w:tr>
        <w:trPr>
          <w:cantSplit/>
        </w:trPr>
        <w:tc>
          <w:tcPr>
            <w:tcW w:type="dxa" w:w="1700"/>
            <w:vMerge/>
            <w:tcMar>
              <w:top w:w="80" w:type="dxa"/>
              <w:start w:w="110" w:type="dxa"/>
              <w:bottom w:w="80" w:type="dxa"/>
              <w:end w:w="110" w:type="dxa"/>
            </w:tcMar>
            <w:vAlign w:val="center"/>
          </w:tcPr>
          <w:p/>
        </w:tc>
        <w:tc>
          <w:tcPr>
            <w:tcW w:type="dxa" w:w="3600"/>
            <w:tcMar>
              <w:top w:w="65" w:type="dxa"/>
              <w:start w:w="100" w:type="dxa"/>
              <w:bottom w:w="65" w:type="dxa"/>
              <w:end w:w="100" w:type="dxa"/>
            </w:tcMar>
            <w:vAlign w:val="center"/>
          </w:tcPr>
          <w:p>
            <w:pPr>
              <w:widowControl w:val="0"/>
              <w:spacing w:before="0" w:after="0" w:line="240" w:lineRule="auto"/>
              <w:jc w:val="center"/>
            </w:pPr>
            <w:r/>
            <w:r>
              <w:rPr>
                <w:rFonts w:ascii="Noto Sans KR" w:hAnsi="Noto Sans KR" w:eastAsia="Noto Sans KR" w:cs="Noto Sans KR"/>
                <w:b w:val="0"/>
                <w:color w:val="000000"/>
                <w:sz w:val="20"/>
              </w:rPr>
              <w:t>황재찬</w:t>
            </w:r>
          </w:p>
        </w:tc>
        <w:tc>
          <w:tcPr>
            <w:tcW w:type="dxa" w:w="4060"/>
            <w:tcMar>
              <w:top w:w="65" w:type="dxa"/>
              <w:start w:w="100" w:type="dxa"/>
              <w:bottom w:w="65" w:type="dxa"/>
              <w:end w:w="100" w:type="dxa"/>
            </w:tcMar>
            <w:vAlign w:val="center"/>
          </w:tcPr>
          <w:p>
            <w:pPr>
              <w:widowControl w:val="0"/>
              <w:spacing w:before="0" w:after="0" w:line="240" w:lineRule="auto"/>
              <w:jc w:val="center"/>
            </w:pPr>
            <w:r/>
            <w:r>
              <w:rPr>
                <w:rFonts w:ascii="Noto Sans KR" w:hAnsi="Noto Sans KR" w:eastAsia="Noto Sans KR" w:cs="Noto Sans KR"/>
                <w:b w:val="0"/>
                <w:color w:val="000000"/>
                <w:sz w:val="20"/>
              </w:rPr>
              <w:t>인천전자마이스터고</w:t>
            </w:r>
          </w:p>
        </w:tc>
      </w:tr>
      <w:tr>
        <w:trPr>
          <w:cantSplit/>
        </w:trPr>
        <w:tc>
          <w:tcPr>
            <w:tcW w:type="dxa" w:w="9360"/>
            <w:gridSpan w:val="3"/>
            <w:tcMar>
              <w:top w:w="65" w:type="dxa"/>
              <w:start w:w="100" w:type="dxa"/>
              <w:bottom w:w="65" w:type="dxa"/>
              <w:end w:w="100" w:type="dxa"/>
            </w:tcMar>
            <w:vAlign w:val="center"/>
            <w:shd w:fill="D9D9D9"/>
          </w:tcPr>
          <w:p>
            <w:pPr>
              <w:widowControl w:val="0"/>
              <w:spacing w:before="0" w:after="0" w:line="240" w:lineRule="auto"/>
              <w:jc w:val="center"/>
            </w:pPr>
            <w:r/>
            <w:r>
              <w:rPr>
                <w:rFonts w:ascii="Noto Sans KR" w:hAnsi="Noto Sans KR" w:eastAsia="Noto Sans KR" w:cs="Noto Sans KR"/>
                <w:b/>
                <w:color w:val="000000"/>
                <w:sz w:val="21"/>
              </w:rPr>
              <w:t>작품 요약</w:t>
            </w:r>
          </w:p>
        </w:tc>
      </w:tr>
      <w:tr>
        <w:trPr>
          <w:cantSplit/>
        </w:trPr>
        <w:tc>
          <w:tcPr>
            <w:tcW w:type="dxa" w:w="9360"/>
            <w:gridSpan w:val="3"/>
            <w:tcMar>
              <w:top w:w="110" w:type="dxa"/>
              <w:start w:w="140" w:type="dxa"/>
              <w:bottom w:w="100" w:type="dxa"/>
              <w:end w:w="140" w:type="dxa"/>
            </w:tcMar>
            <w:vAlign w:val="center"/>
          </w:tcPr>
          <w:p>
            <w:pPr>
              <w:widowControl w:val="0"/>
              <w:spacing w:before="20" w:after="30" w:line="245" w:lineRule="auto"/>
            </w:pPr>
            <w:r/>
            <w:r>
              <w:rPr>
                <w:rFonts w:ascii="Noto Sans KR" w:hAnsi="Noto Sans KR" w:eastAsia="Noto Sans KR" w:cs="Noto Sans KR"/>
                <w:b/>
                <w:sz w:val="18"/>
              </w:rPr>
              <w:t>1. 작품 주제</w:t>
            </w:r>
            <w:r>
              <w:rPr>
                <w:rFonts w:ascii="Noto Sans KR" w:hAnsi="Noto Sans KR" w:eastAsia="Noto Sans KR" w:cs="Noto Sans KR"/>
                <w:sz w:val="17"/>
              </w:rPr>
              <w:br/>
              <w:t>FactLens는 생성형 AI 답변을 독립적인 기준 문서와 주장 단위로 대조하여, 지지·모순·근거 부족·검증 불가의 4가지 상태로 설명하는 Codex/MCP Apps 플러그인이다. ‘절대적 진실 판정’이 아니라 제공된 문서와 답변의 일치성을 투명하게 보여 주어 최종 판단을 사람이 하도록 돕는다.</w:t>
            </w:r>
          </w:p>
          <w:p>
            <w:pPr>
              <w:widowControl w:val="0"/>
              <w:spacing w:before="60" w:after="30" w:line="245" w:lineRule="auto"/>
            </w:pPr>
            <w:r>
              <w:rPr>
                <w:rFonts w:ascii="Noto Sans KR" w:hAnsi="Noto Sans KR" w:eastAsia="Noto Sans KR" w:cs="Noto Sans KR"/>
                <w:b/>
                <w:sz w:val="18"/>
              </w:rPr>
              <w:t>2. 작품 설명</w:t>
            </w:r>
            <w:r>
              <w:rPr>
                <w:rFonts w:ascii="Noto Sans KR" w:hAnsi="Noto Sans KR" w:eastAsia="Noto Sans KR" w:cs="Noto Sans KR"/>
                <w:sz w:val="17"/>
              </w:rPr>
              <w:br/>
              <w:t>사용자가 AI 답변과 기준 자료를 입력하거나 Codex가 독립 근거를 수집한 뒤 verify_answer를 호출한다. Python 엔진은 문장·절의 정확한 위치를 보존해 주장을 추출하고, 문서 문장을 검색한 후 수치·날짜·부정 표현과 어휘 관계를 비교한다. 결과는 원문 강조, 판정 배지, 근거 문장, 판정 이유, 요약 위험도로 제공된다.</w:t>
            </w:r>
          </w:p>
          <w:p>
            <w:pPr>
              <w:widowControl w:val="0"/>
              <w:spacing w:before="60" w:after="30" w:line="245" w:lineRule="auto"/>
            </w:pPr>
            <w:r>
              <w:rPr>
                <w:rFonts w:ascii="Noto Sans KR" w:hAnsi="Noto Sans KR" w:eastAsia="Noto Sans KR" w:cs="Noto Sans KR"/>
                <w:b/>
                <w:sz w:val="18"/>
              </w:rPr>
              <w:t>3. 기존 작품과의 차이점</w:t>
            </w:r>
            <w:r>
              <w:rPr>
                <w:rFonts w:ascii="Noto Sans KR" w:hAnsi="Noto Sans KR" w:eastAsia="Noto Sans KR" w:cs="Noto Sans KR"/>
                <w:sz w:val="17"/>
              </w:rPr>
              <w:br/>
              <w:t>검색 결과 링크만 나열하거나 모델의 자기확신을 표시하지 않는다. 답변 생성과 검증을 분리하고, 근거가 없으면 거짓으로 단정하지 않으며, 외부 자원 없이 동작하는 UI와 상태 비저장 분석 구조로 재현성과 개인정보 최소화를 확보했다. MCP 도구·Skill·대화형 작업창·HTTP 배포 경로를 하나의 패키지로 완성했다.</w:t>
            </w:r>
          </w:p>
          <w:p>
            <w:pPr>
              <w:widowControl w:val="0"/>
              <w:spacing w:before="60" w:after="30" w:line="245" w:lineRule="auto"/>
            </w:pPr>
            <w:r>
              <w:rPr>
                <w:rFonts w:ascii="Noto Sans KR" w:hAnsi="Noto Sans KR" w:eastAsia="Noto Sans KR" w:cs="Noto Sans KR"/>
                <w:b/>
                <w:sz w:val="18"/>
              </w:rPr>
              <w:t>4. 결과</w:t>
            </w:r>
            <w:r>
              <w:rPr>
                <w:rFonts w:ascii="Noto Sans KR" w:hAnsi="Noto Sans KR" w:eastAsia="Noto Sans KR" w:cs="Noto Sans KR"/>
                <w:sz w:val="17"/>
              </w:rPr>
              <w:br/>
              <w:t>FactLens 0.1.0 시제품과 open_factlens·verify_answer 2개 도구를 구현했다. 대표 기능 6개 경로와 모순·지원·근거 부족·검증 불가 처리를 확인했고, 경계 사례 2개에서 개체 교체와 동일 날짜의 다른 지표를 한계로 식별했다. 3개 주장 입력을 50회 실행한 중앙값은 48.39 ms, P95는 63.52 ms였다(로컬 컨테이너·소형 문서·네트워크 제외).</w:t>
            </w:r>
          </w:p>
        </w:tc>
      </w:tr>
    </w:tbl>
    <w:sectPr w:rsidR="00FC693F" w:rsidRPr="0006063C" w:rsidSect="00034616">
      <w:pgSz w:w="11906" w:h="16838"/>
      <w:pgMar w:top="907" w:right="1134" w:bottom="737" w:left="1134"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5" w:lineRule="auto"/>
    </w:pPr>
    <w:rPr>
      <w:rFonts w:ascii="Noto Sans KR" w:hAnsi="Noto Sans KR" w:eastAsia="Noto Sans KR" w:cs="Noto Sans KR"/>
      <w:b w:val="0"/>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