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324B" w14:textId="77777777" w:rsidR="0040065C" w:rsidRDefault="0040065C" w:rsidP="0040065C">
      <w:pPr>
        <w:spacing w:line="480" w:lineRule="auto"/>
      </w:pPr>
      <w:r>
        <w:t>APPENDIX S1: DETAILED METHODS</w:t>
      </w:r>
    </w:p>
    <w:p w14:paraId="01004489" w14:textId="77777777" w:rsidR="0040065C" w:rsidRDefault="0040065C" w:rsidP="0040065C">
      <w:pPr>
        <w:spacing w:line="480" w:lineRule="auto"/>
        <w:rPr>
          <w:i/>
        </w:rPr>
      </w:pPr>
    </w:p>
    <w:p w14:paraId="0251F4B8" w14:textId="77777777" w:rsidR="0040065C" w:rsidRDefault="0040065C" w:rsidP="0040065C">
      <w:pPr>
        <w:spacing w:line="480" w:lineRule="auto"/>
        <w:rPr>
          <w:i/>
        </w:rPr>
      </w:pPr>
      <w:r>
        <w:rPr>
          <w:i/>
        </w:rPr>
        <w:t>Reagents and media</w:t>
      </w:r>
    </w:p>
    <w:p w14:paraId="1D25EC1F" w14:textId="77DD215C" w:rsidR="0040065C" w:rsidRPr="005866F5" w:rsidRDefault="0040065C" w:rsidP="0040065C">
      <w:pPr>
        <w:spacing w:line="480" w:lineRule="auto"/>
      </w:pPr>
      <w:r>
        <w:tab/>
        <w:t xml:space="preserve">All buffers were from Sigma (St. Louis, MO), except tricine, which was from Fisher (Waltham, MA).  All buffers were of ≥ 99.5% purity.  Buffers were prepared as 0.5 M stocks in milli-Q water, titrated to pH 8.0, sterile filtered using 0.22 </w:t>
      </w:r>
      <w:r>
        <w:sym w:font="Symbol" w:char="F06D"/>
      </w:r>
      <w:r>
        <w:t xml:space="preserve">m PVDF </w:t>
      </w:r>
      <w:proofErr w:type="spellStart"/>
      <w:r>
        <w:t>Steriflip</w:t>
      </w:r>
      <w:proofErr w:type="spellEnd"/>
      <w:r>
        <w:t xml:space="preserve"> units (Millipore, Billerica, MA), and stored at 4ºC in the dark.</w:t>
      </w:r>
    </w:p>
    <w:p w14:paraId="52E025DB" w14:textId="1688A03B" w:rsidR="0040065C" w:rsidRDefault="0040065C" w:rsidP="0040065C">
      <w:pPr>
        <w:spacing w:line="480" w:lineRule="auto"/>
      </w:pPr>
      <w:r>
        <w:tab/>
        <w:t xml:space="preserve">Rates of HOOH formation were assessed in </w:t>
      </w:r>
      <w:proofErr w:type="spellStart"/>
      <w:r>
        <w:t>Chelex</w:t>
      </w:r>
      <w:proofErr w:type="spellEnd"/>
      <w:r>
        <w:t xml:space="preserve">-treated, trace-metal free media without nutrient amendments to avoid unwanted side-reactions between HOOH and media components such as Fe.  Experiments were conducted either in 0.22 </w:t>
      </w:r>
      <w:r>
        <w:sym w:font="Symbol" w:char="F06D"/>
      </w:r>
      <w:r>
        <w:t xml:space="preserve">m filtered seawater harvested from the continental shelf near the mouth of Chesapeake Bay (37° 6’ N, 75° 42’ W, 32 salinity) or in artificial seawater (Turk’s Island Sea Salts, </w:t>
      </w:r>
      <w:r>
        <w:fldChar w:fldCharType="begin"/>
      </w:r>
      <w:r w:rsidR="002F1465">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2F1465">
        <w:rPr>
          <w:noProof/>
        </w:rPr>
        <w:t>(</w:t>
      </w:r>
      <w:hyperlink w:anchor="_ENREF_4" w:tooltip="Moore, 2007 #1111" w:history="1">
        <w:r w:rsidR="002F1465">
          <w:rPr>
            <w:noProof/>
          </w:rPr>
          <w:t>Moore et al. 2007</w:t>
        </w:r>
      </w:hyperlink>
      <w:r w:rsidR="002F1465">
        <w:rPr>
          <w:noProof/>
        </w:rPr>
        <w:t>)</w:t>
      </w:r>
      <w:r>
        <w:fldChar w:fldCharType="end"/>
      </w:r>
      <w:r>
        <w:t>, 35 salinity).  In both cases, water was passed through a Chelex-100 column (</w:t>
      </w:r>
      <w:r w:rsidRPr="003254D3">
        <w:t>Bio-Rad, Hercules, CA</w:t>
      </w:r>
      <w:r>
        <w:t xml:space="preserve">) into an acid-washed polycarbonate bottle in a trace metal clean laminar flow hood </w:t>
      </w:r>
      <w:r>
        <w:fldChar w:fldCharType="begin"/>
      </w:r>
      <w:r w:rsidR="002F1465">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fldChar w:fldCharType="separate"/>
      </w:r>
      <w:r w:rsidR="002F1465">
        <w:rPr>
          <w:noProof/>
        </w:rPr>
        <w:t>(</w:t>
      </w:r>
      <w:hyperlink w:anchor="_ENREF_4" w:tooltip="Moore, 2007 #1111" w:history="1">
        <w:r w:rsidR="002F1465">
          <w:rPr>
            <w:noProof/>
          </w:rPr>
          <w:t>Moore et al. 2007</w:t>
        </w:r>
      </w:hyperlink>
      <w:r w:rsidR="002F1465">
        <w:rPr>
          <w:noProof/>
        </w:rPr>
        <w:t>)</w:t>
      </w:r>
      <w:r>
        <w:fldChar w:fldCharType="end"/>
      </w:r>
      <w:r>
        <w:t>.  Water was subsequently sterilized by boiling in a microwave oven three times on three consecutive days.  Each time, the water was allowed to cool in the trace metal clean hood.  Dissolved organic carbon (</w:t>
      </w:r>
      <w:r w:rsidDel="007622E6">
        <w:t>DOC</w:t>
      </w:r>
      <w:r>
        <w:t>) concentrations of seawater were assayed on triplicate samples using a TOC-VCP analyzer (Shimadzu, Kyoto, Japan) after the above treatments.</w:t>
      </w:r>
    </w:p>
    <w:p w14:paraId="7C1923C6" w14:textId="77777777" w:rsidR="0040065C" w:rsidRDefault="0040065C" w:rsidP="0040065C">
      <w:pPr>
        <w:spacing w:line="480" w:lineRule="auto"/>
        <w:rPr>
          <w:i/>
        </w:rPr>
      </w:pPr>
    </w:p>
    <w:p w14:paraId="6B7E69F3" w14:textId="77777777" w:rsidR="0040065C" w:rsidRDefault="0040065C" w:rsidP="0040065C">
      <w:pPr>
        <w:spacing w:line="480" w:lineRule="auto"/>
        <w:rPr>
          <w:i/>
        </w:rPr>
      </w:pPr>
      <w:r>
        <w:rPr>
          <w:i/>
        </w:rPr>
        <w:t>Measurement of HOOH</w:t>
      </w:r>
    </w:p>
    <w:p w14:paraId="6BB37567" w14:textId="49ABCB5D" w:rsidR="0040065C" w:rsidRPr="003254D3" w:rsidRDefault="0040065C" w:rsidP="0040065C">
      <w:pPr>
        <w:spacing w:line="480" w:lineRule="auto"/>
        <w:ind w:firstLine="720"/>
      </w:pPr>
      <w:r>
        <w:t xml:space="preserve">HOOH concentration was measured using an acridinium ester chemiluminescence method </w:t>
      </w:r>
      <w:r>
        <w:fldChar w:fldCharType="begin"/>
      </w:r>
      <w:r w:rsidR="002F1465">
        <w:instrText xml:space="preserve"> ADDIN EN.CITE &lt;EndNote&gt;&lt;Cite&gt;&lt;Author&gt;King&lt;/Author&gt;&lt;Year&gt;2007&lt;/Year&gt;&lt;RecNum&gt;345&lt;/RecNum&gt;&lt;DisplayText&gt;(King et al. 2007)&lt;/DisplayText&gt;&lt;record&gt;&lt;rec-number&gt;345&lt;/rec-number&gt;&lt;foreign-keys&gt;&lt;key app="EN" db-id="rstawpp9kt55zdeszs9xs5wewd50dvwaxsxz"&gt;345&lt;/key&gt;&lt;/foreign-keys&gt;&lt;ref-type name="Journal Article"&gt;17&lt;/ref-type&gt;&lt;contributors&gt;&lt;authors&gt;&lt;author&gt;D. Whitney King&lt;/author&gt;&lt;author&gt;William J. Cooper&lt;/author&gt;&lt;author&gt;Steven A. Rusak&lt;/author&gt;&lt;author&gt;Barrie M. Peake&lt;/author&gt;&lt;author&gt;James J. Kiddle&lt;/author&gt;&lt;author&gt;Daniel W. O&amp;apos;Sullivan&lt;/author&gt;&lt;author&gt;Megan L. Melamed&lt;/author&gt;&lt;author&gt;Chris R. Morgan&lt;/author&gt;&lt;author&gt;Stephen M. Theberge&lt;/author&gt;&lt;/authors&gt;&lt;/contributors&gt;&lt;titles&gt;&lt;title&gt;&lt;style face="normal" font="default" size="100%"&gt;Flow injection analysis of H&lt;/style&gt;&lt;style face="subscript" font="default" size="100%"&gt;2&lt;/style&gt;&lt;style face="normal" font="default" size="100%"&gt;O&lt;/style&gt;&lt;style face="subscript" font="default" size="100%"&gt;2&lt;/style&gt;&lt;style face="normal" font="default" size="100%"&gt; in natural waters using acridinium ester chemiluminescence: method development and optimization using a kinetic model&lt;/style&gt;&lt;/title&gt;&lt;secondary-title&gt;Anal. Chem.&lt;/secondary-title&gt;&lt;/titles&gt;&lt;periodical&gt;&lt;full-title&gt;Anal. Chem.&lt;/full-title&gt;&lt;/periodical&gt;&lt;pages&gt;4169-4176&lt;/pages&gt;&lt;volume&gt;79&lt;/volume&gt;&lt;dates&gt;&lt;year&gt;2007&lt;/year&gt;&lt;/dates&gt;&lt;urls&gt;&lt;/urls&gt;&lt;/record&gt;&lt;/Cite&gt;&lt;/EndNote&gt;</w:instrText>
      </w:r>
      <w:r>
        <w:fldChar w:fldCharType="separate"/>
      </w:r>
      <w:r w:rsidR="002F1465">
        <w:rPr>
          <w:noProof/>
        </w:rPr>
        <w:t>(</w:t>
      </w:r>
      <w:hyperlink w:anchor="_ENREF_2" w:tooltip="King, 2007 #345" w:history="1">
        <w:r w:rsidR="002F1465">
          <w:rPr>
            <w:noProof/>
          </w:rPr>
          <w:t>King et al. 2007</w:t>
        </w:r>
      </w:hyperlink>
      <w:r w:rsidR="002F1465">
        <w:rPr>
          <w:noProof/>
        </w:rPr>
        <w:t>)</w:t>
      </w:r>
      <w:r>
        <w:fldChar w:fldCharType="end"/>
      </w:r>
      <w:r>
        <w:t xml:space="preserve"> modified for use in an Orion-L microplate luminometer </w:t>
      </w:r>
      <w:r>
        <w:lastRenderedPageBreak/>
        <w:t>(Berthold Detection Systems, Pforzheim, Germany</w:t>
      </w:r>
      <w:r w:rsidR="002F3F57">
        <w:t>;</w:t>
      </w:r>
      <w:r>
        <w:fldChar w:fldCharType="begin"/>
      </w:r>
      <w:r w:rsidR="002F1465">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fldChar w:fldCharType="separate"/>
      </w:r>
      <w:r w:rsidR="002F3F57">
        <w:rPr>
          <w:noProof/>
        </w:rPr>
        <w:t xml:space="preserve"> </w:t>
      </w:r>
      <w:hyperlink w:anchor="_ENREF_5" w:tooltip="Morris, 2011 #2127" w:history="1">
        <w:r w:rsidR="002F1465">
          <w:rPr>
            <w:noProof/>
          </w:rPr>
          <w:t>Morris et al. 2011</w:t>
        </w:r>
      </w:hyperlink>
      <w:r w:rsidR="002F1465">
        <w:rPr>
          <w:noProof/>
        </w:rPr>
        <w:t>)</w:t>
      </w:r>
      <w:r>
        <w:fldChar w:fldCharType="end"/>
      </w:r>
      <w:r>
        <w:t xml:space="preserve">.  </w:t>
      </w:r>
      <w:r w:rsidRPr="007622E6">
        <w:rPr>
          <w:rFonts w:cs="CenturyOldStyle-Regular"/>
          <w:szCs w:val="18"/>
          <w:lang w:bidi="en-US"/>
        </w:rPr>
        <w:t>10-methyl-9-(</w:t>
      </w:r>
      <w:r w:rsidRPr="007622E6">
        <w:rPr>
          <w:rFonts w:cs="CenturyOldStyle-Regular"/>
          <w:i/>
          <w:iCs/>
          <w:szCs w:val="18"/>
          <w:lang w:bidi="en-US"/>
        </w:rPr>
        <w:t>p</w:t>
      </w:r>
      <w:r w:rsidRPr="007622E6">
        <w:rPr>
          <w:rFonts w:cs="CenturyOldStyle-Regular"/>
          <w:szCs w:val="18"/>
          <w:lang w:bidi="en-US"/>
        </w:rPr>
        <w:t>-</w:t>
      </w:r>
      <w:proofErr w:type="spellStart"/>
      <w:r w:rsidRPr="007622E6">
        <w:rPr>
          <w:rFonts w:cs="CenturyOldStyle-Regular"/>
          <w:szCs w:val="18"/>
          <w:lang w:bidi="en-US"/>
        </w:rPr>
        <w:t>formylphenyl</w:t>
      </w:r>
      <w:proofErr w:type="spellEnd"/>
      <w:r w:rsidRPr="007622E6">
        <w:rPr>
          <w:rFonts w:cs="CenturyOldStyle-Regular"/>
          <w:szCs w:val="18"/>
          <w:lang w:bidi="en-US"/>
        </w:rPr>
        <w:t>)</w:t>
      </w:r>
      <w:r>
        <w:rPr>
          <w:rFonts w:cs="CenturyOldStyle-Regular"/>
          <w:szCs w:val="18"/>
          <w:lang w:bidi="en-US"/>
        </w:rPr>
        <w:t xml:space="preserve"> </w:t>
      </w:r>
      <w:r w:rsidRPr="007622E6">
        <w:rPr>
          <w:rFonts w:cs="CenturyOldStyle-Regular"/>
          <w:szCs w:val="18"/>
          <w:lang w:bidi="en-US"/>
        </w:rPr>
        <w:t xml:space="preserve">acridinium carboxylate </w:t>
      </w:r>
      <w:proofErr w:type="spellStart"/>
      <w:r w:rsidRPr="007622E6">
        <w:rPr>
          <w:rFonts w:cs="CenturyOldStyle-Regular"/>
          <w:szCs w:val="18"/>
          <w:lang w:bidi="en-US"/>
        </w:rPr>
        <w:t>trifluoromethanesulfonate</w:t>
      </w:r>
      <w:proofErr w:type="spellEnd"/>
      <w:r w:rsidDel="006364EE">
        <w:t xml:space="preserve"> (acridinium ester, </w:t>
      </w:r>
      <w:r>
        <w:t xml:space="preserve">AE) was a generous gift of M. </w:t>
      </w:r>
      <w:proofErr w:type="spellStart"/>
      <w:r>
        <w:t>Gonsior</w:t>
      </w:r>
      <w:proofErr w:type="spellEnd"/>
      <w:r>
        <w:t xml:space="preserve"> (University of Otago, NZ).   Briefly, replicate 200 </w:t>
      </w:r>
      <w:r>
        <w:sym w:font="Symbol" w:char="F06D"/>
      </w:r>
      <w:r>
        <w:t xml:space="preserve">L aliquots of sample were loaded onto white, flat-bottomed 96-well plates (Costar #3912, Corning Life Sciences, Lowell, MA) along with HOOH standards (2-fold dilutions ranging from 15.625 nM to 1 </w:t>
      </w:r>
      <w:r>
        <w:sym w:font="Symbol" w:char="F06D"/>
      </w:r>
      <w:r>
        <w:t xml:space="preserve">M) prepared using a seawater blank collected from 900 m depth in the oligotrophic South Pacific (32° 25’ S, 159° 5’ E).  The blank water was passed through a 0.2 </w:t>
      </w:r>
      <w:r>
        <w:sym w:font="Symbol" w:char="F06D"/>
      </w:r>
      <w:r>
        <w:t xml:space="preserve">m polycarbonate filter (GE </w:t>
      </w:r>
      <w:proofErr w:type="spellStart"/>
      <w:r>
        <w:t>Osmonics</w:t>
      </w:r>
      <w:proofErr w:type="spellEnd"/>
      <w:r>
        <w:t xml:space="preserve">) at the collection site, then treated with 1 </w:t>
      </w:r>
      <w:proofErr w:type="gramStart"/>
      <w:r w:rsidR="00433632">
        <w:t>unit</w:t>
      </w:r>
      <w:r>
        <w:t xml:space="preserve"> </w:t>
      </w:r>
      <w:r w:rsidR="002F3F57">
        <w:rPr>
          <w:vertAlign w:val="superscript"/>
        </w:rPr>
        <w:t>.</w:t>
      </w:r>
      <w:proofErr w:type="gramEnd"/>
      <w:r w:rsidR="002F3F57">
        <w:rPr>
          <w:vertAlign w:val="superscript"/>
        </w:rPr>
        <w:t xml:space="preserve"> </w:t>
      </w:r>
      <w:r>
        <w:t>mL</w:t>
      </w:r>
      <w:r>
        <w:rPr>
          <w:vertAlign w:val="superscript"/>
        </w:rPr>
        <w:t>-1</w:t>
      </w:r>
      <w:r>
        <w:t xml:space="preserve"> of catalase (see below) and stored in an opaque bottle at room temperature.  The HOOH stock solution was prepared by diluting a 30% solution to approximately 25 mM, and then standardized using its absorbance at 240 nm on a DU-800 spectrophotometer (</w:t>
      </w:r>
      <w:r w:rsidRPr="003254D3">
        <w:t>Beckman Coulter</w:t>
      </w:r>
      <w:r>
        <w:t xml:space="preserve">) and the molar absorbance coefficient 38.1 </w:t>
      </w:r>
      <w:proofErr w:type="gramStart"/>
      <w:r>
        <w:t>L</w:t>
      </w:r>
      <w:r w:rsidR="002F3F57">
        <w:t xml:space="preserve"> </w:t>
      </w:r>
      <w:r w:rsidR="002F3F57">
        <w:rPr>
          <w:vertAlign w:val="superscript"/>
        </w:rPr>
        <w:t>.</w:t>
      </w:r>
      <w:proofErr w:type="gramEnd"/>
      <w:r>
        <w:t xml:space="preserve"> mol</w:t>
      </w:r>
      <w:r>
        <w:rPr>
          <w:vertAlign w:val="superscript"/>
        </w:rPr>
        <w:t>-</w:t>
      </w:r>
      <w:proofErr w:type="gramStart"/>
      <w:r>
        <w:rPr>
          <w:vertAlign w:val="superscript"/>
        </w:rPr>
        <w:t>1</w:t>
      </w:r>
      <w:r w:rsidR="002F3F57">
        <w:rPr>
          <w:vertAlign w:val="superscript"/>
        </w:rPr>
        <w:t xml:space="preserve"> .</w:t>
      </w:r>
      <w:proofErr w:type="gramEnd"/>
      <w:r>
        <w:t xml:space="preserve"> cm</w:t>
      </w:r>
      <w:r>
        <w:rPr>
          <w:vertAlign w:val="superscript"/>
        </w:rPr>
        <w:t xml:space="preserve">-1 </w:t>
      </w:r>
      <w:r>
        <w:fldChar w:fldCharType="begin"/>
      </w:r>
      <w:r w:rsidR="002F1465">
        <w:instrText xml:space="preserve"> ADDIN EN.CITE &lt;EndNote&gt;&lt;Cite&gt;&lt;Author&gt;Miller&lt;/Author&gt;&lt;Year&gt;1988&lt;/Year&gt;&lt;RecNum&gt;417&lt;/RecNum&gt;&lt;DisplayText&gt;(Miller &amp;amp; Kester 1988)&lt;/DisplayText&gt;&lt;record&gt;&lt;rec-number&gt;417&lt;/rec-number&gt;&lt;foreign-keys&gt;&lt;key app="EN" db-id="rstawpp9kt55zdeszs9xs5wewd50dvwaxsxz"&gt;417&lt;/key&gt;&lt;/foreign-keys&gt;&lt;ref-type name="Journal Article"&gt;17&lt;/ref-type&gt;&lt;contributors&gt;&lt;authors&gt;&lt;author&gt;William L. Miller&lt;/author&gt;&lt;author&gt;Dana R. Kester&lt;/author&gt;&lt;/authors&gt;&lt;/contributors&gt;&lt;titles&gt;&lt;title&gt;&lt;style face="normal" font="default" size="100%"&gt;Hydrogen peroxide measurement in seawater by (&lt;/style&gt;&lt;style face="italic" font="default" size="100%"&gt;p&lt;/style&gt;&lt;style face="normal" font="default" size="100%"&gt;-hydroxyphenyl)acetic acid dimerization&lt;/style&gt;&lt;/title&gt;&lt;secondary-title&gt;Anal. Chem.&lt;/secondary-title&gt;&lt;/titles&gt;&lt;periodical&gt;&lt;full-title&gt;Anal. Chem.&lt;/full-title&gt;&lt;/periodical&gt;&lt;pages&gt;2711-2715&lt;/pages&gt;&lt;volume&gt;60&lt;/volume&gt;&lt;section&gt;2711&lt;/section&gt;&lt;dates&gt;&lt;year&gt;1988&lt;/year&gt;&lt;/dates&gt;&lt;urls&gt;&lt;/urls&gt;&lt;/record&gt;&lt;/Cite&gt;&lt;/EndNote&gt;</w:instrText>
      </w:r>
      <w:r>
        <w:fldChar w:fldCharType="separate"/>
      </w:r>
      <w:r w:rsidR="002F1465">
        <w:rPr>
          <w:noProof/>
        </w:rPr>
        <w:t>(</w:t>
      </w:r>
      <w:hyperlink w:anchor="_ENREF_3" w:tooltip="Miller, 1988 #417" w:history="1">
        <w:r w:rsidR="002F1465">
          <w:rPr>
            <w:noProof/>
          </w:rPr>
          <w:t>Miller &amp; Kester 1988</w:t>
        </w:r>
      </w:hyperlink>
      <w:r w:rsidR="002F1465">
        <w:rPr>
          <w:noProof/>
        </w:rPr>
        <w:t>)</w:t>
      </w:r>
      <w:r>
        <w:fldChar w:fldCharType="end"/>
      </w:r>
      <w:r>
        <w:t xml:space="preserve">.  Where necessary, samples were diluted in blank water to bring them into the useful range for the AE response (0-1 </w:t>
      </w:r>
      <w:r>
        <w:sym w:font="Symbol" w:char="F06D"/>
      </w:r>
      <w:r>
        <w:t xml:space="preserve">M) and samples of low salinity were diluted into blank water to compensate for the pronounced difference in clarity of seawater and deionized water after alkalinization.  After loading, plates were incubated for 10 min in the same room as the luminometer to allow temperatures to equilibrate.  The assay consisted of sequential injections of 50 </w:t>
      </w:r>
      <w:r>
        <w:sym w:font="Symbol" w:char="F06D"/>
      </w:r>
      <w:r>
        <w:t>L 2 M Na</w:t>
      </w:r>
      <w:r>
        <w:rPr>
          <w:vertAlign w:val="subscript"/>
        </w:rPr>
        <w:t>2</w:t>
      </w:r>
      <w:r>
        <w:t>CO</w:t>
      </w:r>
      <w:r>
        <w:rPr>
          <w:vertAlign w:val="subscript"/>
        </w:rPr>
        <w:t>3</w:t>
      </w:r>
      <w:r>
        <w:t xml:space="preserve"> (pH 11.3) followed by 50 </w:t>
      </w:r>
      <w:r>
        <w:sym w:font="Symbol" w:char="F06D"/>
      </w:r>
      <w:r>
        <w:t xml:space="preserve">L of 2.2 </w:t>
      </w:r>
      <w:proofErr w:type="gramStart"/>
      <w:r>
        <w:t xml:space="preserve">mg </w:t>
      </w:r>
      <w:r w:rsidR="002F3F57">
        <w:rPr>
          <w:vertAlign w:val="superscript"/>
        </w:rPr>
        <w:t>.</w:t>
      </w:r>
      <w:proofErr w:type="gramEnd"/>
      <w:r w:rsidR="002F3F57">
        <w:rPr>
          <w:vertAlign w:val="superscript"/>
        </w:rPr>
        <w:t xml:space="preserve"> </w:t>
      </w:r>
      <w:r>
        <w:t>L</w:t>
      </w:r>
      <w:r>
        <w:rPr>
          <w:vertAlign w:val="superscript"/>
        </w:rPr>
        <w:t>-1</w:t>
      </w:r>
      <w:r>
        <w:t xml:space="preserve"> AE (prepared in 1 mM phosphate buffer, pH 3).  Immediately after addition of AE, light output was measured for 1 s.  HOOH concentrations were determined by comparison of experimental aliquots to a regression line prepared from the HOOH standards run on the same plate. Two mechanical replicates were assayed for each sample.</w:t>
      </w:r>
    </w:p>
    <w:p w14:paraId="5EABE06F" w14:textId="77777777" w:rsidR="0040065C" w:rsidRPr="007A04F3" w:rsidRDefault="0040065C" w:rsidP="0040065C">
      <w:pPr>
        <w:spacing w:line="480" w:lineRule="auto"/>
      </w:pPr>
    </w:p>
    <w:p w14:paraId="02CDF172" w14:textId="77777777" w:rsidR="0040065C" w:rsidRDefault="0040065C" w:rsidP="0040065C">
      <w:pPr>
        <w:spacing w:line="480" w:lineRule="auto"/>
      </w:pPr>
      <w:r>
        <w:rPr>
          <w:i/>
        </w:rPr>
        <w:t>Kinetics of HOOH production in sterile media</w:t>
      </w:r>
    </w:p>
    <w:p w14:paraId="31B46434" w14:textId="5EA581A8" w:rsidR="0040065C" w:rsidRDefault="0040065C" w:rsidP="0040065C">
      <w:pPr>
        <w:spacing w:line="480" w:lineRule="auto"/>
        <w:ind w:firstLine="720"/>
      </w:pPr>
      <w:r>
        <w:t>We followed the generation of HOOH in test tubes containing seawater amended with a variety of buffers (Table S1).  All experiments were conducted on 8 mL of sterile sample in acid-washed borosilicate test tubes incubated at 22ºC under cool fluorescent illumination.</w:t>
      </w:r>
      <w:r w:rsidRPr="005866F5">
        <w:t xml:space="preserve">  Aliquots were removed aseptically periodically over the course of several weeks for HOOH determination.  </w:t>
      </w:r>
      <w:r>
        <w:t xml:space="preserve">The </w:t>
      </w:r>
      <w:r w:rsidR="001A5AF0">
        <w:t xml:space="preserve">long-term zero-order </w:t>
      </w:r>
      <w:r>
        <w:t xml:space="preserve">rate constant of HOOH formation, </w:t>
      </w:r>
      <w:proofErr w:type="spellStart"/>
      <w:r>
        <w:t>k</w:t>
      </w:r>
      <w:r>
        <w:rPr>
          <w:vertAlign w:val="subscript"/>
        </w:rPr>
        <w:t>HOOH</w:t>
      </w:r>
      <w:proofErr w:type="spellEnd"/>
      <w:r>
        <w:t>, was calculated as the slope of HOOH vs. time based on the first 3-8 d of the experiment.</w:t>
      </w:r>
    </w:p>
    <w:p w14:paraId="7074E4CC" w14:textId="6B4CC3DE" w:rsidR="0040065C" w:rsidRDefault="0040065C" w:rsidP="0040065C">
      <w:pPr>
        <w:spacing w:line="480" w:lineRule="auto"/>
        <w:ind w:firstLine="720"/>
      </w:pPr>
      <w:r>
        <w:t xml:space="preserve">In one experiment, we reduced the dissolved oxygen content of the seawater by incubating the reaction vessels in an airtight anaerobe chamber containing a </w:t>
      </w:r>
      <w:proofErr w:type="spellStart"/>
      <w:r>
        <w:t>GasPak</w:t>
      </w:r>
      <w:proofErr w:type="spellEnd"/>
      <w:r>
        <w:t xml:space="preserve"> Plus O</w:t>
      </w:r>
      <w:r>
        <w:rPr>
          <w:vertAlign w:val="subscript"/>
        </w:rPr>
        <w:t>2</w:t>
      </w:r>
      <w:r>
        <w:t xml:space="preserve"> removal system (</w:t>
      </w:r>
      <w:r w:rsidRPr="003254D3">
        <w:t>BD</w:t>
      </w:r>
      <w:r>
        <w:t xml:space="preserve">).  Samples were equilibrated with the anoxic atmosphere in the dark for 1 week and then removed for buffer addition (either 10 mM TAPS or HEPES, or unbuffered control).  At this time, HOOH was measured as described and the samples were re-sealed in the anaerobe chamber with a fresh </w:t>
      </w:r>
      <w:proofErr w:type="spellStart"/>
      <w:r>
        <w:t>GasPak</w:t>
      </w:r>
      <w:proofErr w:type="spellEnd"/>
      <w:r>
        <w:t xml:space="preserve">, then incubated at 22ºC, 65 </w:t>
      </w:r>
      <w:r>
        <w:sym w:font="Symbol" w:char="F06D"/>
      </w:r>
      <w:r>
        <w:t xml:space="preserve">mol </w:t>
      </w:r>
      <w:proofErr w:type="gramStart"/>
      <w:r w:rsidR="002F3F57">
        <w:t xml:space="preserve">photons </w:t>
      </w:r>
      <w:r>
        <w:t xml:space="preserve"> </w:t>
      </w:r>
      <w:r w:rsidR="002F3F57">
        <w:rPr>
          <w:vertAlign w:val="superscript"/>
        </w:rPr>
        <w:t>.</w:t>
      </w:r>
      <w:proofErr w:type="gramEnd"/>
      <w:r w:rsidR="002F3F57">
        <w:rPr>
          <w:vertAlign w:val="superscript"/>
        </w:rPr>
        <w:t xml:space="preserve"> </w:t>
      </w:r>
      <w:r>
        <w:t>m</w:t>
      </w:r>
      <w:r>
        <w:rPr>
          <w:vertAlign w:val="superscript"/>
        </w:rPr>
        <w:t>-</w:t>
      </w:r>
      <w:proofErr w:type="gramStart"/>
      <w:r>
        <w:rPr>
          <w:vertAlign w:val="superscript"/>
        </w:rPr>
        <w:t>2</w:t>
      </w:r>
      <w:r w:rsidR="002F3F57">
        <w:rPr>
          <w:vertAlign w:val="superscript"/>
        </w:rPr>
        <w:t xml:space="preserve"> .</w:t>
      </w:r>
      <w:proofErr w:type="gramEnd"/>
      <w:r>
        <w:t xml:space="preserve"> s</w:t>
      </w:r>
      <w:r>
        <w:rPr>
          <w:vertAlign w:val="superscript"/>
        </w:rPr>
        <w:t>-1</w:t>
      </w:r>
      <w:r>
        <w:t xml:space="preserve"> for 17 d.  At the end of this incubation period, HOOH levels were measured again.</w:t>
      </w:r>
    </w:p>
    <w:p w14:paraId="4F7A6902" w14:textId="77777777" w:rsidR="0040065C" w:rsidRDefault="0040065C" w:rsidP="0040065C">
      <w:pPr>
        <w:spacing w:line="480" w:lineRule="auto"/>
        <w:rPr>
          <w:i/>
        </w:rPr>
      </w:pPr>
    </w:p>
    <w:p w14:paraId="261B5828" w14:textId="77777777" w:rsidR="0040065C" w:rsidRPr="007A04F3" w:rsidRDefault="0040065C" w:rsidP="0040065C">
      <w:pPr>
        <w:spacing w:line="480" w:lineRule="auto"/>
        <w:rPr>
          <w:i/>
        </w:rPr>
      </w:pPr>
      <w:r w:rsidRPr="007A04F3">
        <w:rPr>
          <w:i/>
        </w:rPr>
        <w:t xml:space="preserve">Effects of buffers on growth of </w:t>
      </w:r>
      <w:r w:rsidRPr="007A04F3">
        <w:t>Prochlorococcus</w:t>
      </w:r>
    </w:p>
    <w:p w14:paraId="0211B5A0" w14:textId="235CD578" w:rsidR="0040065C" w:rsidRPr="007A04F3" w:rsidRDefault="0040065C" w:rsidP="0040065C">
      <w:pPr>
        <w:spacing w:line="480" w:lineRule="auto"/>
        <w:rPr>
          <w:rFonts w:cs="Helvetica"/>
          <w:color w:val="000000"/>
          <w:lang w:bidi="en-US"/>
        </w:rPr>
      </w:pPr>
      <w:r w:rsidRPr="008E0273">
        <w:tab/>
        <w:t xml:space="preserve">Non-axenic cultures of </w:t>
      </w:r>
      <w:r w:rsidRPr="008E0273">
        <w:rPr>
          <w:i/>
        </w:rPr>
        <w:t>Prochlorococcus</w:t>
      </w:r>
      <w:r w:rsidRPr="008E0273">
        <w:t xml:space="preserve"> were able to grow in media treated with 10 mM of </w:t>
      </w:r>
      <w:r>
        <w:t>most</w:t>
      </w:r>
      <w:r w:rsidRPr="008E0273">
        <w:t xml:space="preserve"> of the Good’s buffers we tested, but not in </w:t>
      </w:r>
      <w:r>
        <w:t>bicine</w:t>
      </w:r>
      <w:r w:rsidRPr="008E0273">
        <w:t xml:space="preserve"> o</w:t>
      </w:r>
      <w:r>
        <w:t>r glycylglycine, and growth was highly variable in Tris (Fig. S4)</w:t>
      </w:r>
      <w:r w:rsidRPr="008E0273">
        <w:t xml:space="preserve">.  </w:t>
      </w:r>
      <w:r>
        <w:t xml:space="preserve">Since </w:t>
      </w:r>
      <w:r w:rsidRPr="008E0273">
        <w:t xml:space="preserve">heterotrophic contaminants present in these wild-type cultures can confer protection against oxidative stress on </w:t>
      </w:r>
      <w:r w:rsidRPr="00895827">
        <w:rPr>
          <w:i/>
          <w:highlight w:val="yellow"/>
          <w:rPrChange w:id="0" w:author="McCullough, Katie" w:date="2023-07-25T15:03:00Z">
            <w:rPr>
              <w:i/>
            </w:rPr>
          </w:rPrChange>
        </w:rPr>
        <w:lastRenderedPageBreak/>
        <w:t>Prochlorococcus</w:t>
      </w:r>
      <w:r w:rsidRPr="00895827">
        <w:rPr>
          <w:highlight w:val="yellow"/>
          <w:rPrChange w:id="1" w:author="McCullough, Katie" w:date="2023-07-25T15:03:00Z">
            <w:rPr/>
          </w:rPrChange>
        </w:rPr>
        <w:t xml:space="preserve"> </w:t>
      </w:r>
      <w:r w:rsidRPr="00895827">
        <w:rPr>
          <w:highlight w:val="yellow"/>
          <w:rPrChange w:id="2" w:author="McCullough, Katie" w:date="2023-07-25T15:03:00Z">
            <w:rPr/>
          </w:rPrChange>
        </w:rPr>
        <w:fldChar w:fldCharType="begin"/>
      </w:r>
      <w:r w:rsidR="002F1465" w:rsidRPr="00895827">
        <w:rPr>
          <w:highlight w:val="yellow"/>
          <w:rPrChange w:id="3" w:author="McCullough, Katie" w:date="2023-07-25T15:03:00Z">
            <w:rPr/>
          </w:rPrChange>
        </w:rPr>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rsidRPr="00895827">
        <w:rPr>
          <w:highlight w:val="yellow"/>
          <w:rPrChange w:id="4" w:author="McCullough, Katie" w:date="2023-07-25T15:03:00Z">
            <w:rPr/>
          </w:rPrChange>
        </w:rPr>
        <w:fldChar w:fldCharType="separate"/>
      </w:r>
      <w:r w:rsidR="002F1465" w:rsidRPr="00895827">
        <w:rPr>
          <w:noProof/>
          <w:highlight w:val="yellow"/>
          <w:rPrChange w:id="5" w:author="McCullough, Katie" w:date="2023-07-25T15:03:00Z">
            <w:rPr>
              <w:noProof/>
            </w:rPr>
          </w:rPrChange>
        </w:rPr>
        <w:t>(</w:t>
      </w:r>
      <w:r w:rsidR="00000000" w:rsidRPr="00895827">
        <w:rPr>
          <w:highlight w:val="yellow"/>
          <w:rPrChange w:id="6" w:author="McCullough, Katie" w:date="2023-07-25T15:03:00Z">
            <w:rPr/>
          </w:rPrChange>
        </w:rPr>
        <w:fldChar w:fldCharType="begin"/>
      </w:r>
      <w:r w:rsidR="00000000" w:rsidRPr="00895827">
        <w:rPr>
          <w:highlight w:val="yellow"/>
          <w:rPrChange w:id="7" w:author="McCullough, Katie" w:date="2023-07-25T15:03:00Z">
            <w:rPr/>
          </w:rPrChange>
        </w:rPr>
        <w:instrText>HYPERLINK \l "_ENREF_5" \o "Morris, 2011 #2127"</w:instrText>
      </w:r>
      <w:r w:rsidR="00000000" w:rsidRPr="00895827">
        <w:rPr>
          <w:highlight w:val="yellow"/>
          <w:rPrChange w:id="8" w:author="McCullough, Katie" w:date="2023-07-25T15:03:00Z">
            <w:rPr/>
          </w:rPrChange>
        </w:rPr>
      </w:r>
      <w:r w:rsidR="00000000" w:rsidRPr="00895827">
        <w:rPr>
          <w:highlight w:val="yellow"/>
          <w:rPrChange w:id="9" w:author="McCullough, Katie" w:date="2023-07-25T15:03:00Z">
            <w:rPr/>
          </w:rPrChange>
        </w:rPr>
        <w:fldChar w:fldCharType="separate"/>
      </w:r>
      <w:r w:rsidR="002F1465" w:rsidRPr="00895827">
        <w:rPr>
          <w:noProof/>
          <w:highlight w:val="yellow"/>
          <w:rPrChange w:id="10" w:author="McCullough, Katie" w:date="2023-07-25T15:03:00Z">
            <w:rPr>
              <w:noProof/>
            </w:rPr>
          </w:rPrChange>
        </w:rPr>
        <w:t>Morris et al. 2011</w:t>
      </w:r>
      <w:r w:rsidR="00000000" w:rsidRPr="00895827">
        <w:rPr>
          <w:noProof/>
          <w:highlight w:val="yellow"/>
          <w:rPrChange w:id="11" w:author="McCullough, Katie" w:date="2023-07-25T15:03:00Z">
            <w:rPr>
              <w:noProof/>
            </w:rPr>
          </w:rPrChange>
        </w:rPr>
        <w:fldChar w:fldCharType="end"/>
      </w:r>
      <w:r w:rsidR="002F1465" w:rsidRPr="00895827">
        <w:rPr>
          <w:noProof/>
          <w:highlight w:val="yellow"/>
          <w:rPrChange w:id="12" w:author="McCullough, Katie" w:date="2023-07-25T15:03:00Z">
            <w:rPr>
              <w:noProof/>
            </w:rPr>
          </w:rPrChange>
        </w:rPr>
        <w:t>)</w:t>
      </w:r>
      <w:r w:rsidRPr="00895827">
        <w:rPr>
          <w:highlight w:val="yellow"/>
          <w:rPrChange w:id="13" w:author="McCullough, Katie" w:date="2023-07-25T15:03:00Z">
            <w:rPr/>
          </w:rPrChange>
        </w:rPr>
        <w:fldChar w:fldCharType="end"/>
      </w:r>
      <w:r w:rsidRPr="00895827">
        <w:rPr>
          <w:highlight w:val="yellow"/>
          <w:rPrChange w:id="14" w:author="McCullough, Katie" w:date="2023-07-25T15:03:00Z">
            <w:rPr/>
          </w:rPrChange>
        </w:rPr>
        <w:t xml:space="preserve">, we used an axenic strain of </w:t>
      </w:r>
      <w:r w:rsidRPr="00895827">
        <w:rPr>
          <w:i/>
          <w:highlight w:val="yellow"/>
          <w:rPrChange w:id="15" w:author="McCullough, Katie" w:date="2023-07-25T15:03:00Z">
            <w:rPr>
              <w:i/>
            </w:rPr>
          </w:rPrChange>
        </w:rPr>
        <w:t>Prochlorococcus</w:t>
      </w:r>
      <w:r w:rsidRPr="00895827">
        <w:rPr>
          <w:highlight w:val="yellow"/>
          <w:rPrChange w:id="16" w:author="McCullough, Katie" w:date="2023-07-25T15:03:00Z">
            <w:rPr/>
          </w:rPrChange>
        </w:rPr>
        <w:t xml:space="preserve">, VOL1 </w:t>
      </w:r>
      <w:r w:rsidRPr="00895827">
        <w:rPr>
          <w:highlight w:val="yellow"/>
          <w:rPrChange w:id="17" w:author="McCullough, Katie" w:date="2023-07-25T15:03:00Z">
            <w:rPr/>
          </w:rPrChange>
        </w:rPr>
        <w:fldChar w:fldCharType="begin"/>
      </w:r>
      <w:r w:rsidR="002F1465" w:rsidRPr="00895827">
        <w:rPr>
          <w:highlight w:val="yellow"/>
          <w:rPrChange w:id="18" w:author="McCullough, Katie" w:date="2023-07-25T15:03:00Z">
            <w:rPr/>
          </w:rPrChange>
        </w:rPr>
        <w:instrText xml:space="preserve"> ADDIN EN.CITE &lt;EndNote&gt;&lt;Cite&gt;&lt;Author&gt;Morris&lt;/Author&gt;&lt;Year&gt;2011&lt;/Year&gt;&lt;RecNum&gt;2127&lt;/RecNum&gt;&lt;DisplayText&gt;(Morris et al. 2011)&lt;/DisplayText&gt;&lt;record&gt;&lt;rec-number&gt;2127&lt;/rec-number&gt;&lt;foreign-keys&gt;&lt;key app="EN" db-id="rstawpp9kt55zdeszs9xs5wewd50dvwaxsxz"&gt;2127&lt;/key&gt;&lt;/foreign-keys&gt;&lt;ref-type name="Journal Article"&gt;17&lt;/ref-type&gt;&lt;contributors&gt;&lt;authors&gt;&lt;author&gt;Morris, J. Jeffrey&lt;/author&gt;&lt;author&gt;Johnson, Zackary I.&lt;/author&gt;&lt;author&gt;Szul, Martin J.&lt;/author&gt;&lt;author&gt;Keller, Martin&lt;/author&gt;&lt;author&gt;Zinser, Erik R.&lt;/author&gt;&lt;/authors&gt;&lt;/contributors&gt;&lt;titles&gt;&lt;title&gt;&lt;style face="normal" font="default" size="100%"&gt;Dependence of the cyanobacterium &lt;/style&gt;&lt;style face="italic" font="default" size="100%"&gt;Prochlorococcus&lt;/style&gt;&lt;style face="normal" font="default" size="100%"&gt; on hydrogen peroxide scavenging microbes for growth at the ocean&amp;apos;s surface&lt;/style&gt;&lt;/title&gt;&lt;secondary-title&gt;PLoS ONE&lt;/secondary-title&gt;&lt;/titles&gt;&lt;periodical&gt;&lt;full-title&gt;PLoS ONE&lt;/full-title&gt;&lt;/periodical&gt;&lt;pages&gt;e16805&lt;/pages&gt;&lt;volume&gt;6&lt;/volume&gt;&lt;number&gt;2&lt;/number&gt;&lt;dates&gt;&lt;year&gt;2011&lt;/year&gt;&lt;pub-dates&gt;&lt;date&gt;02/03&lt;/date&gt;&lt;/pub-dates&gt;&lt;/dates&gt;&lt;publisher&gt;Public Library of Science&lt;/publisher&gt;&lt;urls&gt;&lt;related-urls&gt;&lt;url&gt;&lt;style face="underline" font="default" size="100%"&gt;http://dx.doi.org/10.1371%2Fjournal.pone.0016805 &lt;/style&gt;&lt;/url&gt;&lt;/related-urls&gt;&lt;/urls&gt;&lt;/record&gt;&lt;/Cite&gt;&lt;/EndNote&gt;</w:instrText>
      </w:r>
      <w:r w:rsidRPr="00895827">
        <w:rPr>
          <w:highlight w:val="yellow"/>
          <w:rPrChange w:id="19" w:author="McCullough, Katie" w:date="2023-07-25T15:03:00Z">
            <w:rPr/>
          </w:rPrChange>
        </w:rPr>
        <w:fldChar w:fldCharType="separate"/>
      </w:r>
      <w:r w:rsidR="002F1465" w:rsidRPr="00895827">
        <w:rPr>
          <w:noProof/>
          <w:highlight w:val="yellow"/>
          <w:rPrChange w:id="20" w:author="McCullough, Katie" w:date="2023-07-25T15:03:00Z">
            <w:rPr>
              <w:noProof/>
            </w:rPr>
          </w:rPrChange>
        </w:rPr>
        <w:t>(</w:t>
      </w:r>
      <w:r w:rsidR="00000000" w:rsidRPr="00895827">
        <w:rPr>
          <w:highlight w:val="yellow"/>
          <w:rPrChange w:id="21" w:author="McCullough, Katie" w:date="2023-07-25T15:03:00Z">
            <w:rPr/>
          </w:rPrChange>
        </w:rPr>
        <w:fldChar w:fldCharType="begin"/>
      </w:r>
      <w:r w:rsidR="00000000" w:rsidRPr="00895827">
        <w:rPr>
          <w:highlight w:val="yellow"/>
          <w:rPrChange w:id="22" w:author="McCullough, Katie" w:date="2023-07-25T15:03:00Z">
            <w:rPr/>
          </w:rPrChange>
        </w:rPr>
        <w:instrText>HYPERLINK \l "_ENREF_5" \o "Morris, 2011 #2127"</w:instrText>
      </w:r>
      <w:r w:rsidR="00000000" w:rsidRPr="00895827">
        <w:rPr>
          <w:highlight w:val="yellow"/>
          <w:rPrChange w:id="23" w:author="McCullough, Katie" w:date="2023-07-25T15:03:00Z">
            <w:rPr/>
          </w:rPrChange>
        </w:rPr>
      </w:r>
      <w:r w:rsidR="00000000" w:rsidRPr="00895827">
        <w:rPr>
          <w:highlight w:val="yellow"/>
          <w:rPrChange w:id="24" w:author="McCullough, Katie" w:date="2023-07-25T15:03:00Z">
            <w:rPr/>
          </w:rPrChange>
        </w:rPr>
        <w:fldChar w:fldCharType="separate"/>
      </w:r>
      <w:r w:rsidR="002F1465" w:rsidRPr="00895827">
        <w:rPr>
          <w:noProof/>
          <w:highlight w:val="yellow"/>
          <w:rPrChange w:id="25" w:author="McCullough, Katie" w:date="2023-07-25T15:03:00Z">
            <w:rPr>
              <w:noProof/>
            </w:rPr>
          </w:rPrChange>
        </w:rPr>
        <w:t>Morris et al. 2011</w:t>
      </w:r>
      <w:r w:rsidR="00000000" w:rsidRPr="00895827">
        <w:rPr>
          <w:noProof/>
          <w:highlight w:val="yellow"/>
          <w:rPrChange w:id="26" w:author="McCullough, Katie" w:date="2023-07-25T15:03:00Z">
            <w:rPr>
              <w:noProof/>
            </w:rPr>
          </w:rPrChange>
        </w:rPr>
        <w:fldChar w:fldCharType="end"/>
      </w:r>
      <w:r w:rsidR="002F1465" w:rsidRPr="00895827">
        <w:rPr>
          <w:noProof/>
          <w:highlight w:val="yellow"/>
          <w:rPrChange w:id="27" w:author="McCullough, Katie" w:date="2023-07-25T15:03:00Z">
            <w:rPr>
              <w:noProof/>
            </w:rPr>
          </w:rPrChange>
        </w:rPr>
        <w:t>)</w:t>
      </w:r>
      <w:r w:rsidRPr="00895827">
        <w:rPr>
          <w:highlight w:val="yellow"/>
          <w:rPrChange w:id="28" w:author="McCullough, Katie" w:date="2023-07-25T15:03:00Z">
            <w:rPr/>
          </w:rPrChange>
        </w:rPr>
        <w:fldChar w:fldCharType="end"/>
      </w:r>
      <w:r w:rsidRPr="00895827">
        <w:rPr>
          <w:highlight w:val="yellow"/>
          <w:rPrChange w:id="29" w:author="McCullough, Katie" w:date="2023-07-25T15:03:00Z">
            <w:rPr/>
          </w:rPrChange>
        </w:rPr>
        <w:t xml:space="preserve"> to test the toxicity of buffer-generated HOOH.  VOL1 was grown in Pro99 natural seawater medium </w:t>
      </w:r>
      <w:r w:rsidRPr="00895827">
        <w:rPr>
          <w:highlight w:val="yellow"/>
          <w:rPrChange w:id="30" w:author="McCullough, Katie" w:date="2023-07-25T15:03:00Z">
            <w:rPr/>
          </w:rPrChange>
        </w:rPr>
        <w:fldChar w:fldCharType="begin"/>
      </w:r>
      <w:r w:rsidR="002F1465" w:rsidRPr="00895827">
        <w:rPr>
          <w:highlight w:val="yellow"/>
          <w:rPrChange w:id="31" w:author="McCullough, Katie" w:date="2023-07-25T15:03:00Z">
            <w:rPr/>
          </w:rPrChange>
        </w:rPr>
        <w:instrText xml:space="preserve"> ADDIN EN.CITE &lt;EndNote&gt;&lt;Cite&gt;&lt;Author&gt;Moore&lt;/Author&gt;&lt;Year&gt;2007&lt;/Year&gt;&lt;RecNum&gt;1111&lt;/RecNum&gt;&lt;DisplayText&gt;(Moore et al. 2007)&lt;/DisplayText&gt;&lt;record&gt;&lt;rec-number&gt;1111&lt;/rec-number&gt;&lt;foreign-keys&gt;&lt;key app="EN" db-id="rstawpp9kt55zdeszs9xs5wewd50dvwaxsxz"&gt;1111&lt;/key&gt;&lt;/foreign-keys&gt;&lt;ref-type name="Journal Article"&gt;17&lt;/ref-type&gt;&lt;contributors&gt;&lt;authors&gt;&lt;author&gt;Moore, L. R.&lt;/author&gt;&lt;author&gt;Coe, A.&lt;/author&gt;&lt;author&gt;Zinser, E. R.&lt;/author&gt;&lt;author&gt;Saito, M. A.&lt;/author&gt;&lt;author&gt;Sullivan, M. B.&lt;/author&gt;&lt;author&gt;Lindell, D.&lt;/author&gt;&lt;author&gt;Frois-Moniz, K.&lt;/author&gt;&lt;author&gt;Waterbury, J.&lt;/author&gt;&lt;author&gt;Chisholm, S. W.&lt;/author&gt;&lt;/authors&gt;&lt;/contributors&gt;&lt;titles&gt;&lt;title&gt;&lt;style face="normal" font="default" size="100%"&gt;Culturing the marine cyanobacterium &lt;/style&gt;&lt;style face="italic" font="default" size="100%"&gt;Prochlorococcus&lt;/style&gt;&lt;/title&gt;&lt;secondary-title&gt;Limnol. Oceanogr.: Methods&lt;/secondary-title&gt;&lt;/titles&gt;&lt;periodical&gt;&lt;full-title&gt;Limnol. Oceanogr.: Methods&lt;/full-title&gt;&lt;/periodical&gt;&lt;pages&gt;353-362&lt;/pages&gt;&lt;volume&gt;5&lt;/volume&gt;&lt;keywords&gt;&lt;keyword&gt;INTERNAL TRANSCRIBED SPACER&lt;/keyword&gt;&lt;keyword&gt;FLOW-CYTOMETRY&lt;/keyword&gt;&lt;keyword&gt;CHLOROPHYLL-A&lt;/keyword&gt;&lt;keyword&gt;SYNECHOCOCCUS&lt;/keyword&gt;&lt;keyword&gt;ECOTYPES&lt;/keyword&gt;&lt;keyword&gt;GENOME&lt;/keyword&gt;&lt;keyword&gt;SEA&lt;/keyword&gt;&lt;keyword&gt;PICOCYANOBACTERIA&lt;/keyword&gt;&lt;keyword&gt;FLUORESCENCE&lt;/keyword&gt;&lt;keyword&gt;PICOPLANKTON&lt;/keyword&gt;&lt;/keywords&gt;&lt;dates&gt;&lt;year&gt;2007&lt;/year&gt;&lt;pub-dates&gt;&lt;date&gt;Oct&lt;/date&gt;&lt;/pub-dates&gt;&lt;/dates&gt;&lt;isbn&gt;1541-5856&lt;/isbn&gt;&lt;accession-num&gt;ISI:000251564500007&lt;/accession-num&gt;&lt;urls&gt;&lt;related-urls&gt;&lt;url&gt;&lt;style face="underline" font="default" size="100%"&gt;&amp;lt;Go to ISI&amp;gt;://000251564500007 &lt;/style&gt;&lt;/url&gt;&lt;/related-urls&gt;&lt;/urls&gt;&lt;/record&gt;&lt;/Cite&gt;&lt;/EndNote&gt;</w:instrText>
      </w:r>
      <w:r w:rsidRPr="00895827">
        <w:rPr>
          <w:highlight w:val="yellow"/>
          <w:rPrChange w:id="32" w:author="McCullough, Katie" w:date="2023-07-25T15:03:00Z">
            <w:rPr/>
          </w:rPrChange>
        </w:rPr>
        <w:fldChar w:fldCharType="separate"/>
      </w:r>
      <w:r w:rsidR="002F1465" w:rsidRPr="00895827">
        <w:rPr>
          <w:noProof/>
          <w:highlight w:val="yellow"/>
          <w:rPrChange w:id="33" w:author="McCullough, Katie" w:date="2023-07-25T15:03:00Z">
            <w:rPr>
              <w:noProof/>
            </w:rPr>
          </w:rPrChange>
        </w:rPr>
        <w:t>(</w:t>
      </w:r>
      <w:r w:rsidR="00000000" w:rsidRPr="00895827">
        <w:rPr>
          <w:highlight w:val="yellow"/>
          <w:rPrChange w:id="34" w:author="McCullough, Katie" w:date="2023-07-25T15:03:00Z">
            <w:rPr/>
          </w:rPrChange>
        </w:rPr>
        <w:fldChar w:fldCharType="begin"/>
      </w:r>
      <w:r w:rsidR="00000000" w:rsidRPr="00895827">
        <w:rPr>
          <w:highlight w:val="yellow"/>
          <w:rPrChange w:id="35" w:author="McCullough, Katie" w:date="2023-07-25T15:03:00Z">
            <w:rPr/>
          </w:rPrChange>
        </w:rPr>
        <w:instrText>HYPERLINK \l "_ENREF_4" \o "Moore, 2007 #1111"</w:instrText>
      </w:r>
      <w:r w:rsidR="00000000" w:rsidRPr="00895827">
        <w:rPr>
          <w:highlight w:val="yellow"/>
          <w:rPrChange w:id="36" w:author="McCullough, Katie" w:date="2023-07-25T15:03:00Z">
            <w:rPr/>
          </w:rPrChange>
        </w:rPr>
      </w:r>
      <w:r w:rsidR="00000000" w:rsidRPr="00895827">
        <w:rPr>
          <w:highlight w:val="yellow"/>
          <w:rPrChange w:id="37" w:author="McCullough, Katie" w:date="2023-07-25T15:03:00Z">
            <w:rPr/>
          </w:rPrChange>
        </w:rPr>
        <w:fldChar w:fldCharType="separate"/>
      </w:r>
      <w:r w:rsidR="002F1465" w:rsidRPr="00895827">
        <w:rPr>
          <w:noProof/>
          <w:highlight w:val="yellow"/>
          <w:rPrChange w:id="38" w:author="McCullough, Katie" w:date="2023-07-25T15:03:00Z">
            <w:rPr>
              <w:noProof/>
            </w:rPr>
          </w:rPrChange>
        </w:rPr>
        <w:t>Moore et al. 2007</w:t>
      </w:r>
      <w:r w:rsidR="00000000" w:rsidRPr="00895827">
        <w:rPr>
          <w:noProof/>
          <w:highlight w:val="yellow"/>
          <w:rPrChange w:id="39" w:author="McCullough, Katie" w:date="2023-07-25T15:03:00Z">
            <w:rPr>
              <w:noProof/>
            </w:rPr>
          </w:rPrChange>
        </w:rPr>
        <w:fldChar w:fldCharType="end"/>
      </w:r>
      <w:r w:rsidR="002F1465" w:rsidRPr="00895827">
        <w:rPr>
          <w:noProof/>
          <w:highlight w:val="yellow"/>
          <w:rPrChange w:id="40" w:author="McCullough, Katie" w:date="2023-07-25T15:03:00Z">
            <w:rPr>
              <w:noProof/>
            </w:rPr>
          </w:rPrChange>
        </w:rPr>
        <w:t>)</w:t>
      </w:r>
      <w:r w:rsidRPr="00895827">
        <w:rPr>
          <w:highlight w:val="yellow"/>
          <w:rPrChange w:id="41" w:author="McCullough, Katie" w:date="2023-07-25T15:03:00Z">
            <w:rPr/>
          </w:rPrChange>
        </w:rPr>
        <w:fldChar w:fldCharType="end"/>
      </w:r>
      <w:r w:rsidRPr="00895827">
        <w:rPr>
          <w:highlight w:val="yellow"/>
          <w:rPrChange w:id="42" w:author="McCullough, Katie" w:date="2023-07-25T15:03:00Z">
            <w:rPr/>
          </w:rPrChange>
        </w:rPr>
        <w:t xml:space="preserve"> supplemented either with HEPES or TAPS under a variety of conditions.  Importantly, Pro99 contains 1 </w:t>
      </w:r>
      <w:r w:rsidRPr="00895827">
        <w:rPr>
          <w:highlight w:val="yellow"/>
          <w:rPrChange w:id="43" w:author="McCullough, Katie" w:date="2023-07-25T15:03:00Z">
            <w:rPr/>
          </w:rPrChange>
        </w:rPr>
        <w:sym w:font="Symbol" w:char="F06D"/>
      </w:r>
      <w:r w:rsidRPr="00895827">
        <w:rPr>
          <w:highlight w:val="yellow"/>
          <w:rPrChange w:id="44" w:author="McCullough, Katie" w:date="2023-07-25T15:03:00Z">
            <w:rPr/>
          </w:rPrChange>
        </w:rPr>
        <w:t>M Fe(III):EDTA as a nutritional supplement, which may enhance the toxicity of HOOH by accelerating the Fenton reaction</w:t>
      </w:r>
      <w:r w:rsidR="00433632" w:rsidRPr="00895827">
        <w:rPr>
          <w:highlight w:val="yellow"/>
          <w:rPrChange w:id="45" w:author="McCullough, Katie" w:date="2023-07-25T15:03:00Z">
            <w:rPr/>
          </w:rPrChange>
        </w:rPr>
        <w:t xml:space="preserve"> </w:t>
      </w:r>
      <w:r w:rsidR="005A7519" w:rsidRPr="00895827">
        <w:rPr>
          <w:highlight w:val="yellow"/>
          <w:rPrChange w:id="46" w:author="McCullough, Katie" w:date="2023-07-25T15:03:00Z">
            <w:rPr/>
          </w:rPrChange>
        </w:rPr>
        <w:fldChar w:fldCharType="begin"/>
      </w:r>
      <w:r w:rsidR="002F1465" w:rsidRPr="00895827">
        <w:rPr>
          <w:highlight w:val="yellow"/>
          <w:rPrChange w:id="47" w:author="McCullough, Katie" w:date="2023-07-25T15:03:00Z">
            <w:rPr/>
          </w:rPrChange>
        </w:rPr>
        <w:instrText xml:space="preserve"> ADDIN EN.CITE &lt;EndNote&gt;&lt;Cite&gt;&lt;Author&gt;Imlay&lt;/Author&gt;&lt;Year&gt;2003&lt;/Year&gt;&lt;RecNum&gt;340&lt;/RecNum&gt;&lt;DisplayText&gt;(Imlay 2003)&lt;/DisplayText&gt;&lt;record&gt;&lt;rec-number&gt;340&lt;/rec-number&gt;&lt;foreign-keys&gt;&lt;key app="EN" db-id="rstawpp9kt55zdeszs9xs5wewd50dvwaxsxz"&gt;340&lt;/key&gt;&lt;/foreign-keys&gt;&lt;ref-type name="Journal Article"&gt;17&lt;/ref-type&gt;&lt;contributors&gt;&lt;authors&gt;&lt;author&gt;Imlay, James A.&lt;/author&gt;&lt;/authors&gt;&lt;/contributors&gt;&lt;titles&gt;&lt;title&gt;Pathways of oxidative damage&lt;/title&gt;&lt;secondary-title&gt;Annu. Rev. Microbiol.&lt;/secondary-title&gt;&lt;/titles&gt;&lt;periodical&gt;&lt;full-title&gt;Annu. Rev. Microbiol.&lt;/full-title&gt;&lt;/periodical&gt;&lt;pages&gt;395-418&lt;/pages&gt;&lt;volume&gt;57&lt;/volume&gt;&lt;section&gt;395&lt;/section&gt;&lt;keywords&gt;&lt;keyword&gt;superoxide, ydrogen peroxide, hy&lt;/keyword&gt;&lt;keyword&gt;dismutase, cablase&lt;/keyword&gt;&lt;/keywords&gt;&lt;dates&gt;&lt;year&gt;2003&lt;/year&gt;&lt;/dates&gt;&lt;urls&gt;&lt;/urls&gt;&lt;/record&gt;&lt;/Cite&gt;&lt;/EndNote&gt;</w:instrText>
      </w:r>
      <w:r w:rsidR="005A7519" w:rsidRPr="00895827">
        <w:rPr>
          <w:highlight w:val="yellow"/>
          <w:rPrChange w:id="48" w:author="McCullough, Katie" w:date="2023-07-25T15:03:00Z">
            <w:rPr/>
          </w:rPrChange>
        </w:rPr>
        <w:fldChar w:fldCharType="separate"/>
      </w:r>
      <w:r w:rsidR="002F1465" w:rsidRPr="00895827">
        <w:rPr>
          <w:noProof/>
          <w:highlight w:val="yellow"/>
          <w:rPrChange w:id="49" w:author="McCullough, Katie" w:date="2023-07-25T15:03:00Z">
            <w:rPr>
              <w:noProof/>
            </w:rPr>
          </w:rPrChange>
        </w:rPr>
        <w:t>(</w:t>
      </w:r>
      <w:r w:rsidR="00000000" w:rsidRPr="00895827">
        <w:rPr>
          <w:highlight w:val="yellow"/>
          <w:rPrChange w:id="50" w:author="McCullough, Katie" w:date="2023-07-25T15:03:00Z">
            <w:rPr/>
          </w:rPrChange>
        </w:rPr>
        <w:fldChar w:fldCharType="begin"/>
      </w:r>
      <w:r w:rsidR="00000000" w:rsidRPr="00895827">
        <w:rPr>
          <w:highlight w:val="yellow"/>
          <w:rPrChange w:id="51" w:author="McCullough, Katie" w:date="2023-07-25T15:03:00Z">
            <w:rPr/>
          </w:rPrChange>
        </w:rPr>
        <w:instrText>HYPERLINK \l "_ENREF_1" \o "Imlay, 2003 #340"</w:instrText>
      </w:r>
      <w:r w:rsidR="00000000" w:rsidRPr="00895827">
        <w:rPr>
          <w:highlight w:val="yellow"/>
          <w:rPrChange w:id="52" w:author="McCullough, Katie" w:date="2023-07-25T15:03:00Z">
            <w:rPr/>
          </w:rPrChange>
        </w:rPr>
      </w:r>
      <w:r w:rsidR="00000000" w:rsidRPr="00895827">
        <w:rPr>
          <w:highlight w:val="yellow"/>
          <w:rPrChange w:id="53" w:author="McCullough, Katie" w:date="2023-07-25T15:03:00Z">
            <w:rPr/>
          </w:rPrChange>
        </w:rPr>
        <w:fldChar w:fldCharType="separate"/>
      </w:r>
      <w:r w:rsidR="002F1465" w:rsidRPr="00895827">
        <w:rPr>
          <w:noProof/>
          <w:highlight w:val="yellow"/>
          <w:rPrChange w:id="54" w:author="McCullough, Katie" w:date="2023-07-25T15:03:00Z">
            <w:rPr>
              <w:noProof/>
            </w:rPr>
          </w:rPrChange>
        </w:rPr>
        <w:t>Imlay 2003</w:t>
      </w:r>
      <w:r w:rsidR="00000000" w:rsidRPr="00895827">
        <w:rPr>
          <w:noProof/>
          <w:highlight w:val="yellow"/>
          <w:rPrChange w:id="55" w:author="McCullough, Katie" w:date="2023-07-25T15:03:00Z">
            <w:rPr>
              <w:noProof/>
            </w:rPr>
          </w:rPrChange>
        </w:rPr>
        <w:fldChar w:fldCharType="end"/>
      </w:r>
      <w:r w:rsidR="002F1465" w:rsidRPr="00895827">
        <w:rPr>
          <w:noProof/>
          <w:highlight w:val="yellow"/>
          <w:rPrChange w:id="56" w:author="McCullough, Katie" w:date="2023-07-25T15:03:00Z">
            <w:rPr>
              <w:noProof/>
            </w:rPr>
          </w:rPrChange>
        </w:rPr>
        <w:t>)</w:t>
      </w:r>
      <w:r w:rsidR="005A7519" w:rsidRPr="00895827">
        <w:rPr>
          <w:highlight w:val="yellow"/>
          <w:rPrChange w:id="57" w:author="McCullough, Katie" w:date="2023-07-25T15:03:00Z">
            <w:rPr/>
          </w:rPrChange>
        </w:rPr>
        <w:fldChar w:fldCharType="end"/>
      </w:r>
      <w:r w:rsidRPr="00895827">
        <w:rPr>
          <w:highlight w:val="yellow"/>
          <w:rPrChange w:id="58" w:author="McCullough, Katie" w:date="2023-07-25T15:03:00Z">
            <w:rPr/>
          </w:rPrChange>
        </w:rPr>
        <w:t>.</w:t>
      </w:r>
      <w:r w:rsidRPr="008E0273">
        <w:t xml:space="preserve">  </w:t>
      </w:r>
      <w:r>
        <w:t>VOL1 was acclimated to growth conditions (other than presence/absence of buffer) over at least two passages into fresh media prior to the start of experiments.  Mid-exponential phase cultures (~ 10</w:t>
      </w:r>
      <w:r>
        <w:rPr>
          <w:vertAlign w:val="superscript"/>
        </w:rPr>
        <w:t>7</w:t>
      </w:r>
      <w:r>
        <w:t>-10</w:t>
      </w:r>
      <w:r>
        <w:rPr>
          <w:vertAlign w:val="superscript"/>
        </w:rPr>
        <w:t>8</w:t>
      </w:r>
      <w:r>
        <w:t xml:space="preserve"> </w:t>
      </w:r>
      <w:proofErr w:type="gramStart"/>
      <w:r>
        <w:t xml:space="preserve">cells </w:t>
      </w:r>
      <w:r w:rsidR="002F3F57">
        <w:rPr>
          <w:vertAlign w:val="superscript"/>
        </w:rPr>
        <w:t>.</w:t>
      </w:r>
      <w:proofErr w:type="gramEnd"/>
      <w:r w:rsidR="002F3F57">
        <w:rPr>
          <w:vertAlign w:val="superscript"/>
        </w:rPr>
        <w:t xml:space="preserve"> </w:t>
      </w:r>
      <w:r>
        <w:t>mL</w:t>
      </w:r>
      <w:r>
        <w:rPr>
          <w:vertAlign w:val="superscript"/>
        </w:rPr>
        <w:t>-1</w:t>
      </w:r>
      <w:r>
        <w:t>)</w:t>
      </w:r>
      <w:r w:rsidRPr="007A04F3">
        <w:t xml:space="preserve"> were diluted 200-fold into Pro99 medium either with or without HEPES or TAPS as a buffer and growth was followed by chlorophyll fluorescence using a TD700 fluorometer (Turner Designs, Sunnyvale, CA, USA) </w:t>
      </w:r>
      <w:r w:rsidRPr="007A04F3">
        <w:rPr>
          <w:rFonts w:cs="Helvetica"/>
          <w:color w:val="000000"/>
          <w:lang w:bidi="en-US"/>
        </w:rPr>
        <w:t xml:space="preserve">equipped with an </w:t>
      </w:r>
      <w:r w:rsidRPr="007A04F3">
        <w:rPr>
          <w:rFonts w:cs="Helvetica"/>
          <w:i/>
          <w:color w:val="000000"/>
          <w:lang w:bidi="en-US"/>
        </w:rPr>
        <w:t>in vivo</w:t>
      </w:r>
      <w:r w:rsidRPr="007A04F3">
        <w:rPr>
          <w:rFonts w:cs="Helvetica"/>
          <w:color w:val="000000"/>
          <w:lang w:bidi="en-US"/>
        </w:rPr>
        <w:t xml:space="preserve"> chl</w:t>
      </w:r>
      <w:r>
        <w:rPr>
          <w:rFonts w:cs="Helvetica"/>
          <w:color w:val="000000"/>
          <w:lang w:bidi="en-US"/>
        </w:rPr>
        <w:t>orophyll-</w:t>
      </w:r>
      <w:r w:rsidRPr="007A04F3">
        <w:rPr>
          <w:rFonts w:cs="Helvetica"/>
          <w:color w:val="000000"/>
          <w:lang w:bidi="en-US"/>
        </w:rPr>
        <w:t xml:space="preserve">a filter set (excitation 340–500 nm; emission ≥ 665 nm).  </w:t>
      </w:r>
      <w:r w:rsidRPr="008E0273">
        <w:t xml:space="preserve">Buffers were added either at 1 mM, the level used in several artificial seawater media recipes for </w:t>
      </w:r>
      <w:r w:rsidRPr="008E0273">
        <w:rPr>
          <w:i/>
        </w:rPr>
        <w:t xml:space="preserve">Prochlorococcus </w:t>
      </w:r>
      <w:r>
        <w:fldChar w:fldCharType="begin">
          <w:fldData xml:space="preserve">PEVuZE5vdGU+PENpdGU+PEF1dGhvcj5Nb29yZTwvQXV0aG9yPjxZZWFyPjIwMDc8L1llYXI+PFJl
Y051bT4xMTExPC9SZWNOdW0+PERpc3BsYXlUZXh0PihNb29yZSBldCBhbC4gMjAwNywgUmlwcGth
IGV0IGFsLiAyMDAwKTwvRGlzcGxheVRleHQ+PHJlY29yZD48cmVjLW51bWJlcj4xMTExPC9yZWMt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aXRlPjxBdXRob3I+UmlwcGthPC9BdXRob3I+PFllYXI+MjAwMDwvWWVhcj48UmVjTnVtPjE3Nzk8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</w:fldData>
        </w:fldChar>
      </w:r>
      <w:r w:rsidR="002F1465">
        <w:instrText xml:space="preserve"> ADDIN EN.CITE </w:instrText>
      </w:r>
      <w:r w:rsidR="002F1465">
        <w:fldChar w:fldCharType="begin">
          <w:fldData xml:space="preserve">PEVuZE5vdGU+PENpdGU+PEF1dGhvcj5Nb29yZTwvQXV0aG9yPjxZZWFyPjIwMDc8L1llYXI+PFJl
Y051bT4xMTExPC9SZWNOdW0+PERpc3BsYXlUZXh0PihNb29yZSBldCBhbC4gMjAwNywgUmlwcGth
IGV0IGFsLiAyMDAwKTwvRGlzcGxheVRleHQ+PHJlY29yZD48cmVjLW51bWJlcj4xMTExPC9yZWMt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aXRlPjxBdXRob3I+UmlwcGthPC9BdXRob3I+PFllYXI+MjAwMDwvWWVhcj48UmVjTnVtPjE3Nzk8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</w:fldData>
        </w:fldChar>
      </w:r>
      <w:r w:rsidR="002F1465">
        <w:instrText xml:space="preserve"> ADDIN EN.CITE.DATA </w:instrText>
      </w:r>
      <w:r w:rsidR="002F1465">
        <w:fldChar w:fldCharType="end"/>
      </w:r>
      <w:r>
        <w:fldChar w:fldCharType="separate"/>
      </w:r>
      <w:r w:rsidR="002F1465">
        <w:rPr>
          <w:noProof/>
        </w:rPr>
        <w:t>(</w:t>
      </w:r>
      <w:hyperlink w:anchor="_ENREF_4" w:tooltip="Moore, 2007 #1111" w:history="1">
        <w:r w:rsidR="002F1465">
          <w:rPr>
            <w:noProof/>
          </w:rPr>
          <w:t>Moore et al. 2007</w:t>
        </w:r>
      </w:hyperlink>
      <w:r w:rsidR="002F1465">
        <w:rPr>
          <w:noProof/>
        </w:rPr>
        <w:t xml:space="preserve">, </w:t>
      </w:r>
      <w:hyperlink w:anchor="_ENREF_7" w:tooltip="Rippka, 2000 #1779" w:history="1">
        <w:r w:rsidR="002F1465">
          <w:rPr>
            <w:noProof/>
          </w:rPr>
          <w:t>Rippka et al. 2000</w:t>
        </w:r>
      </w:hyperlink>
      <w:r w:rsidR="002F1465">
        <w:rPr>
          <w:noProof/>
        </w:rPr>
        <w:t>)</w:t>
      </w:r>
      <w:r>
        <w:fldChar w:fldCharType="end"/>
      </w:r>
      <w:r w:rsidRPr="003254D3">
        <w:t>,</w:t>
      </w:r>
      <w:r w:rsidRPr="008E0273">
        <w:t xml:space="preserve"> or 10 mM, a higher level used for large-volume batch cultures of </w:t>
      </w:r>
      <w:r w:rsidRPr="008E0273">
        <w:rPr>
          <w:i/>
        </w:rPr>
        <w:t>Prochlorococcus</w:t>
      </w:r>
      <w:r w:rsidRPr="008E0273">
        <w:t xml:space="preserve"> in natural seawater </w:t>
      </w:r>
      <w:r>
        <w:fldChar w:fldCharType="begin">
          <w:fldData xml:space="preserve">PEVuZE5vdGU+PENpdGU+PEF1dGhvcj5Nb29yZTwvQXV0aG9yPjxZZWFyPjIwMDc8L1llYXI+PFJl
Y051bT4xMTExPC9SZWNOdW0+PERpc3BsYXlUZXh0PihNb29yZSBldCBhbC4gMjAwNywgWmluc2Vy
IGV0IGFsLiAyMDA5KTwvRGlzcGxheVRleHQ+PHJlY29yZD48cmVjLW51bWJlcj4xMTExPC9yZWMt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aXRlPjxBdXRob3I+Wmluc2VyPC9BdXRob3I+PFllYXI+MjAwOTwvWWVhcj48UmVjTnVtPjE2NTQ8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</w:fldData>
        </w:fldChar>
      </w:r>
      <w:r w:rsidR="002F1465">
        <w:instrText xml:space="preserve"> ADDIN EN.CITE </w:instrText>
      </w:r>
      <w:r w:rsidR="002F1465">
        <w:fldChar w:fldCharType="begin">
          <w:fldData xml:space="preserve">PEVuZE5vdGU+PENpdGU+PEF1dGhvcj5Nb29yZTwvQXV0aG9yPjxZZWFyPjIwMDc8L1llYXI+PFJl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</w:fldData>
        </w:fldChar>
      </w:r>
      <w:r w:rsidR="002F1465">
        <w:instrText xml:space="preserve"> ADDIN EN.CITE.DATA </w:instrText>
      </w:r>
      <w:r w:rsidR="002F1465">
        <w:fldChar w:fldCharType="end"/>
      </w:r>
      <w:r>
        <w:fldChar w:fldCharType="separate"/>
      </w:r>
      <w:r w:rsidR="002F1465">
        <w:rPr>
          <w:noProof/>
        </w:rPr>
        <w:t>(</w:t>
      </w:r>
      <w:hyperlink w:anchor="_ENREF_4" w:tooltip="Moore, 2007 #1111" w:history="1">
        <w:r w:rsidR="002F1465">
          <w:rPr>
            <w:noProof/>
          </w:rPr>
          <w:t>Moore et al. 2007</w:t>
        </w:r>
      </w:hyperlink>
      <w:r w:rsidR="002F1465">
        <w:rPr>
          <w:noProof/>
        </w:rPr>
        <w:t xml:space="preserve">, </w:t>
      </w:r>
      <w:hyperlink w:anchor="_ENREF_8" w:tooltip="Zinser, 2009 #1654" w:history="1">
        <w:r w:rsidR="002F1465">
          <w:rPr>
            <w:noProof/>
          </w:rPr>
          <w:t>Zinser et al. 2009</w:t>
        </w:r>
      </w:hyperlink>
      <w:r w:rsidR="002F1465">
        <w:rPr>
          <w:noProof/>
        </w:rPr>
        <w:t>)</w:t>
      </w:r>
      <w:r>
        <w:fldChar w:fldCharType="end"/>
      </w:r>
      <w:r w:rsidRPr="008E0273">
        <w:t xml:space="preserve">.  </w:t>
      </w:r>
      <w:r w:rsidRPr="007A04F3">
        <w:rPr>
          <w:rFonts w:cs="Helvetica"/>
          <w:color w:val="000000"/>
          <w:lang w:bidi="en-US"/>
        </w:rPr>
        <w:t xml:space="preserve">If no growth was detectable after 60 d, the culture was assumed to be dead (growth rate </w:t>
      </w:r>
      <w:r>
        <w:rPr>
          <w:rFonts w:cs="Helvetica"/>
          <w:color w:val="000000"/>
          <w:lang w:bidi="en-US"/>
        </w:rPr>
        <w:t>≤</w:t>
      </w:r>
      <w:r w:rsidRPr="007A04F3">
        <w:rPr>
          <w:rFonts w:cs="Helvetica"/>
          <w:color w:val="000000"/>
          <w:lang w:bidi="en-US"/>
        </w:rPr>
        <w:t xml:space="preserve"> 0).  At the end of each experiment, samples were tested for purity by the addition of 1/10 volume of </w:t>
      </w:r>
      <w:proofErr w:type="spellStart"/>
      <w:r w:rsidRPr="007A04F3">
        <w:rPr>
          <w:rFonts w:cs="Helvetica"/>
          <w:color w:val="000000"/>
          <w:lang w:bidi="en-US"/>
        </w:rPr>
        <w:t>ProAC</w:t>
      </w:r>
      <w:proofErr w:type="spellEnd"/>
      <w:r w:rsidRPr="007A04F3">
        <w:rPr>
          <w:rFonts w:cs="Helvetica"/>
          <w:color w:val="000000"/>
          <w:lang w:bidi="en-US"/>
        </w:rPr>
        <w:t xml:space="preserve"> medium </w:t>
      </w:r>
      <w:r>
        <w:rPr>
          <w:rFonts w:cs="Helvetica"/>
          <w:color w:val="000000"/>
          <w:lang w:bidi="en-US"/>
        </w:rPr>
        <w:fldChar w:fldCharType="begin"/>
      </w:r>
      <w:r w:rsidR="002F1465">
        <w:rPr>
          <w:rFonts w:cs="Helvetica"/>
          <w:color w:val="000000"/>
          <w:lang w:bidi="en-US"/>
        </w:rPr>
        <w:instrText xml:space="preserve"> ADDIN EN.CITE &lt;EndNote&gt;&lt;Cite&gt;&lt;Author&gt;Morris&lt;/Author&gt;&lt;Year&gt;2008&lt;/Year&gt;&lt;RecNum&gt;1125&lt;/RecNum&gt;&lt;DisplayText&gt;(Morris et al. 2008)&lt;/DisplayText&gt;&lt;record&gt;&lt;rec-number&gt;1125&lt;/rec-number&gt;&lt;foreign-keys&gt;&lt;key app="EN" db-id="rstawpp9kt55zdeszs9xs5wewd50dvwaxsxz"&gt;1125&lt;/key&gt;&lt;/foreign-keys&gt;&lt;ref-type name="Journal Article"&gt;17&lt;/ref-type&gt;&lt;contributors&gt;&lt;authors&gt;&lt;author&gt;Morris, J. Jeffrey&lt;/author&gt;&lt;author&gt;Kirkegaard, Robin&lt;/author&gt;&lt;author&gt;Szul, Martin J.&lt;/author&gt;&lt;author&gt;Johnson, Zackary I.&lt;/author&gt;&lt;author&gt;Zinser, Erik R.&lt;/author&gt;&lt;/authors&gt;&lt;/contributors&gt;&lt;titles&gt;&lt;title&gt;&lt;style face="normal" font="default" size="100%"&gt;Facilitation of robust growth of &lt;/style&gt;&lt;style face="italic" font="default" size="100%"&gt;Prochlorococcus&lt;/style&gt;&lt;style face="normal" font="default" size="100%"&gt; colonies and dilute liquid cultures by &amp;quot;helper&amp;quot; heterotrophic bacteria&lt;/style&gt;&lt;/title&gt;&lt;secondary-title&gt;Appl. Environ. Microbiol.&lt;/secondary-title&gt;&lt;/titles&gt;&lt;periodical&gt;&lt;full-title&gt;Appl. Environ. Microbiol.&lt;/full-title&gt;&lt;/periodical&gt;&lt;pages&gt;4530-4534&lt;/pages&gt;&lt;volume&gt;74&lt;/volume&gt;&lt;number&gt;14&lt;/number&gt;&lt;dates&gt;&lt;year&gt;2008&lt;/year&gt;&lt;pub-dates&gt;&lt;date&gt;July 15, 2008&lt;/date&gt;&lt;/pub-dates&gt;&lt;/dates&gt;&lt;urls&gt;&lt;related-urls&gt;&lt;url&gt;&lt;style face="underline" font="default" size="100%"&gt;http://aem.asm.org/cgi/content/abstract/74/14/4530 &lt;/style&gt;&lt;/url&gt;&lt;/related-urls&gt;&lt;/urls&gt;&lt;electronic-resource-num&gt;&lt;style face="underline" font="default" size="100%"&gt;10.1128/aem.02479-07&lt;/style&gt;&lt;/electronic-resource-num&gt;&lt;/record&gt;&lt;/Cite&gt;&lt;/EndNote&gt;</w:instrText>
      </w:r>
      <w:r>
        <w:rPr>
          <w:rFonts w:cs="Helvetica"/>
          <w:color w:val="000000"/>
          <w:lang w:bidi="en-US"/>
        </w:rPr>
        <w:fldChar w:fldCharType="separate"/>
      </w:r>
      <w:r w:rsidR="002F1465">
        <w:rPr>
          <w:rFonts w:cs="Helvetica"/>
          <w:noProof/>
          <w:color w:val="000000"/>
          <w:lang w:bidi="en-US"/>
        </w:rPr>
        <w:t>(</w:t>
      </w:r>
      <w:hyperlink w:anchor="_ENREF_6" w:tooltip="Morris, 2008 #1125" w:history="1">
        <w:r w:rsidR="002F1465">
          <w:rPr>
            <w:rFonts w:cs="Helvetica"/>
            <w:noProof/>
            <w:color w:val="000000"/>
            <w:lang w:bidi="en-US"/>
          </w:rPr>
          <w:t>Morris et al. 2008</w:t>
        </w:r>
      </w:hyperlink>
      <w:r w:rsidR="002F1465">
        <w:rPr>
          <w:rFonts w:cs="Helvetica"/>
          <w:noProof/>
          <w:color w:val="000000"/>
          <w:lang w:bidi="en-US"/>
        </w:rPr>
        <w:t>)</w:t>
      </w:r>
      <w:r>
        <w:rPr>
          <w:rFonts w:cs="Helvetica"/>
          <w:color w:val="000000"/>
          <w:lang w:bidi="en-US"/>
        </w:rPr>
        <w:fldChar w:fldCharType="end"/>
      </w:r>
      <w:r w:rsidRPr="007A04F3">
        <w:rPr>
          <w:rFonts w:cs="Helvetica"/>
          <w:color w:val="000000"/>
          <w:lang w:bidi="en-US"/>
        </w:rPr>
        <w:t xml:space="preserve"> to the culture tubes; if no turbidity developed within 60 d, the culture was assumed to be axenic.</w:t>
      </w:r>
      <w:r>
        <w:rPr>
          <w:rFonts w:cs="Helvetica"/>
          <w:color w:val="000000"/>
          <w:lang w:bidi="en-US"/>
        </w:rPr>
        <w:t xml:space="preserve">  None of the experiments reported here showed evidence of heterotrophic contamination.</w:t>
      </w:r>
    </w:p>
    <w:p w14:paraId="7C716C59" w14:textId="3C8AA2FB" w:rsidR="0040065C" w:rsidRPr="007A04F3" w:rsidRDefault="0040065C" w:rsidP="0040065C">
      <w:pPr>
        <w:spacing w:line="480" w:lineRule="auto"/>
        <w:ind w:firstLine="720"/>
        <w:rPr>
          <w:rFonts w:cs="Helvetica"/>
          <w:color w:val="000000"/>
          <w:lang w:bidi="en-US"/>
        </w:rPr>
      </w:pPr>
      <w:r>
        <w:t xml:space="preserve">Crystallized bovine liver catalase (1,340 </w:t>
      </w:r>
      <w:proofErr w:type="gramStart"/>
      <w:r>
        <w:t xml:space="preserve">units </w:t>
      </w:r>
      <w:r w:rsidR="002F3F57">
        <w:rPr>
          <w:vertAlign w:val="superscript"/>
        </w:rPr>
        <w:t>.</w:t>
      </w:r>
      <w:proofErr w:type="gramEnd"/>
      <w:r w:rsidR="002F3F57">
        <w:rPr>
          <w:vertAlign w:val="superscript"/>
        </w:rPr>
        <w:t xml:space="preserve"> </w:t>
      </w:r>
      <w:r>
        <w:t xml:space="preserve"> mg protein</w:t>
      </w:r>
      <w:r>
        <w:rPr>
          <w:vertAlign w:val="superscript"/>
        </w:rPr>
        <w:t>-1</w:t>
      </w:r>
      <w:r>
        <w:t xml:space="preserve">) was resuspended in 1 mM sodium phosphate buffer (pH 7.0) pre-heated to 37ºC at a concentration of 1000+ </w:t>
      </w:r>
      <w:proofErr w:type="gramStart"/>
      <w:r>
        <w:lastRenderedPageBreak/>
        <w:t xml:space="preserve">units </w:t>
      </w:r>
      <w:r w:rsidR="002F3F57">
        <w:rPr>
          <w:vertAlign w:val="superscript"/>
        </w:rPr>
        <w:t>.</w:t>
      </w:r>
      <w:proofErr w:type="gramEnd"/>
      <w:r w:rsidR="002F3F57">
        <w:rPr>
          <w:vertAlign w:val="superscript"/>
        </w:rPr>
        <w:t xml:space="preserve"> </w:t>
      </w:r>
      <w:proofErr w:type="gramStart"/>
      <w:r>
        <w:t>mL</w:t>
      </w:r>
      <w:r>
        <w:rPr>
          <w:vertAlign w:val="superscript"/>
        </w:rPr>
        <w:t>-1</w:t>
      </w:r>
      <w:proofErr w:type="gramEnd"/>
      <w:r>
        <w:t xml:space="preserve">.  The resulting solution was sterilized using a 0.22 </w:t>
      </w:r>
      <w:r>
        <w:sym w:font="Symbol" w:char="F06D"/>
      </w:r>
      <w:r>
        <w:t xml:space="preserve">m </w:t>
      </w:r>
      <w:proofErr w:type="spellStart"/>
      <w:r>
        <w:t>Millex</w:t>
      </w:r>
      <w:proofErr w:type="spellEnd"/>
      <w:r>
        <w:t>-GV syringe filter (Millipore</w:t>
      </w:r>
      <w:r w:rsidRPr="003254D3">
        <w:t>)</w:t>
      </w:r>
      <w:r>
        <w:t xml:space="preserve"> prior to dilution into culture media.</w:t>
      </w:r>
    </w:p>
    <w:p w14:paraId="26569F80" w14:textId="77777777" w:rsidR="0040065C" w:rsidRDefault="0040065C" w:rsidP="0040065C">
      <w:pPr>
        <w:spacing w:line="480" w:lineRule="auto"/>
        <w:rPr>
          <w:i/>
        </w:rPr>
      </w:pPr>
    </w:p>
    <w:p w14:paraId="6431C425" w14:textId="77777777" w:rsidR="0040065C" w:rsidRPr="008E0273" w:rsidRDefault="0040065C" w:rsidP="0040065C">
      <w:pPr>
        <w:spacing w:line="480" w:lineRule="auto"/>
        <w:rPr>
          <w:i/>
        </w:rPr>
      </w:pPr>
      <w:r w:rsidRPr="008E0273">
        <w:rPr>
          <w:i/>
        </w:rPr>
        <w:t>HEPES a</w:t>
      </w:r>
      <w:r>
        <w:rPr>
          <w:i/>
        </w:rPr>
        <w:t>s a steady-state HOOH generator</w:t>
      </w:r>
    </w:p>
    <w:p w14:paraId="643EA6B1" w14:textId="1E43D274" w:rsidR="0040065C" w:rsidRPr="008E0273" w:rsidRDefault="0040065C" w:rsidP="0040065C">
      <w:pPr>
        <w:spacing w:line="480" w:lineRule="auto"/>
      </w:pPr>
      <w:r w:rsidRPr="008E0273">
        <w:tab/>
      </w:r>
      <w:r>
        <w:t xml:space="preserve">Using the data presented in Figure 2, we performed a multiple linear regression to attempt to predict </w:t>
      </w:r>
      <w:proofErr w:type="spellStart"/>
      <w:r>
        <w:t>k</w:t>
      </w:r>
      <w:r>
        <w:rPr>
          <w:vertAlign w:val="subscript"/>
        </w:rPr>
        <w:t>HOOH</w:t>
      </w:r>
      <w:proofErr w:type="spellEnd"/>
      <w:r>
        <w:t xml:space="preserve"> based on buffer concentration, seawater proportion, and light level.  The regression was highly significant (</w:t>
      </w:r>
      <w:proofErr w:type="spellStart"/>
      <w:r>
        <w:t>df</w:t>
      </w:r>
      <w:proofErr w:type="spellEnd"/>
      <w:r>
        <w:t>=45, r</w:t>
      </w:r>
      <w:r>
        <w:rPr>
          <w:vertAlign w:val="superscript"/>
        </w:rPr>
        <w:t>2</w:t>
      </w:r>
      <w:r>
        <w:t xml:space="preserve"> = 0.958), and all three parameters yielded significant coefficients (Table S2).   Our diel experiments used </w:t>
      </w:r>
      <w:r w:rsidRPr="008E0273">
        <w:t xml:space="preserve">100% natural seawater, 65 </w:t>
      </w:r>
      <w:r w:rsidR="002F3F57">
        <w:sym w:font="Symbol" w:char="F06D"/>
      </w:r>
      <w:r w:rsidR="002F3F57">
        <w:t xml:space="preserve">mol </w:t>
      </w:r>
      <w:proofErr w:type="gramStart"/>
      <w:r w:rsidR="002F3F57">
        <w:t xml:space="preserve">photons  </w:t>
      </w:r>
      <w:r w:rsidR="002F3F57">
        <w:rPr>
          <w:vertAlign w:val="superscript"/>
        </w:rPr>
        <w:t>.</w:t>
      </w:r>
      <w:proofErr w:type="gramEnd"/>
      <w:r w:rsidR="002F3F57">
        <w:rPr>
          <w:vertAlign w:val="superscript"/>
        </w:rPr>
        <w:t xml:space="preserve"> </w:t>
      </w:r>
      <w:r w:rsidR="002F3F57">
        <w:t>m</w:t>
      </w:r>
      <w:r w:rsidR="002F3F57">
        <w:rPr>
          <w:vertAlign w:val="superscript"/>
        </w:rPr>
        <w:t>-</w:t>
      </w:r>
      <w:proofErr w:type="gramStart"/>
      <w:r w:rsidR="002F3F57">
        <w:rPr>
          <w:vertAlign w:val="superscript"/>
        </w:rPr>
        <w:t>2 .</w:t>
      </w:r>
      <w:proofErr w:type="gramEnd"/>
      <w:r w:rsidR="002F3F57">
        <w:t xml:space="preserve"> s</w:t>
      </w:r>
      <w:r w:rsidR="002F3F57">
        <w:rPr>
          <w:vertAlign w:val="superscript"/>
        </w:rPr>
        <w:t>-1</w:t>
      </w:r>
      <w:r w:rsidRPr="008E0273">
        <w:t xml:space="preserve">, and </w:t>
      </w:r>
      <w:r w:rsidRPr="003254D3">
        <w:t>10</w:t>
      </w:r>
      <w:r w:rsidRPr="008E0273">
        <w:t xml:space="preserve"> mM HEPES, </w:t>
      </w:r>
      <w:r>
        <w:t>which we estimated</w:t>
      </w:r>
      <w:r w:rsidRPr="008E0273">
        <w:t xml:space="preserve"> </w:t>
      </w:r>
      <w:r>
        <w:t xml:space="preserve">based on our regression would </w:t>
      </w:r>
      <w:r w:rsidRPr="008E0273">
        <w:t xml:space="preserve">produce </w:t>
      </w:r>
      <w:r w:rsidRPr="003254D3">
        <w:t xml:space="preserve">approximately </w:t>
      </w:r>
      <w:r>
        <w:t>71</w:t>
      </w:r>
      <w:r w:rsidRPr="00884271">
        <w:t xml:space="preserve"> </w:t>
      </w:r>
      <w:r>
        <w:t>n</w:t>
      </w:r>
      <w:r w:rsidRPr="00884271">
        <w:t xml:space="preserve">M </w:t>
      </w:r>
      <w:r>
        <w:t>h</w:t>
      </w:r>
      <w:r w:rsidRPr="00884271">
        <w:rPr>
          <w:vertAlign w:val="superscript"/>
        </w:rPr>
        <w:t>-1</w:t>
      </w:r>
      <w:r w:rsidRPr="00884271">
        <w:t xml:space="preserve"> HOOH</w:t>
      </w:r>
      <w:r>
        <w:t xml:space="preserve">.  </w:t>
      </w:r>
      <w:r w:rsidRPr="008E0273">
        <w:t xml:space="preserve">We supplemented this medium with a range of catalase concentrations to vary the competing HOOH removal rate and sampled the system for HOOH concentration periodically over two photoperiods of incubation (16:16 h of </w:t>
      </w:r>
      <w:proofErr w:type="spellStart"/>
      <w:proofErr w:type="gramStart"/>
      <w:r w:rsidRPr="008E0273">
        <w:t>light:darkness</w:t>
      </w:r>
      <w:proofErr w:type="spellEnd"/>
      <w:proofErr w:type="gramEnd"/>
      <w:r w:rsidRPr="008E0273">
        <w:t xml:space="preserve"> during the first photoperiod, and 12:12 during the second).</w:t>
      </w:r>
    </w:p>
    <w:p w14:paraId="528DB9AE" w14:textId="77777777" w:rsidR="00A77A96" w:rsidRDefault="0040065C" w:rsidP="0040065C">
      <w:pPr>
        <w:spacing w:line="480" w:lineRule="auto"/>
      </w:pPr>
      <w:r>
        <w:tab/>
        <w:t>We note that HOOH production in our actual diel experiment exceeded our predictions.  The values used for our regression model were obtained from long-term incubations under constant illumination, whereas we observed that HOOH was produced much more rapidly during the first few hours of illumination (Fig. 1B).  Because the regression model does not accommodate the initial burst of HOOH production, it should underestimate HOOH production in a diel experiment.</w:t>
      </w:r>
    </w:p>
    <w:p w14:paraId="221918D6" w14:textId="77777777" w:rsidR="00DF4168" w:rsidRDefault="00DF4168" w:rsidP="0040065C">
      <w:pPr>
        <w:spacing w:line="480" w:lineRule="auto"/>
      </w:pPr>
    </w:p>
    <w:p w14:paraId="37DA8E4D" w14:textId="77777777" w:rsidR="00DF4168" w:rsidRDefault="00DF4168" w:rsidP="0040065C">
      <w:pPr>
        <w:spacing w:line="480" w:lineRule="auto"/>
      </w:pPr>
    </w:p>
    <w:p w14:paraId="56920187" w14:textId="77777777" w:rsidR="00DF4168" w:rsidRDefault="00DF4168" w:rsidP="0040065C">
      <w:pPr>
        <w:spacing w:line="480" w:lineRule="auto"/>
      </w:pPr>
    </w:p>
    <w:p w14:paraId="3A5184EA" w14:textId="77777777" w:rsidR="00DF4168" w:rsidRDefault="00DF4168" w:rsidP="0040065C">
      <w:pPr>
        <w:spacing w:line="480" w:lineRule="auto"/>
      </w:pPr>
    </w:p>
    <w:p w14:paraId="6464DBEC" w14:textId="77777777" w:rsidR="00DF4168" w:rsidRDefault="00DF4168" w:rsidP="0040065C">
      <w:pPr>
        <w:spacing w:line="480" w:lineRule="auto"/>
      </w:pPr>
    </w:p>
    <w:p w14:paraId="0C55E18D" w14:textId="77777777" w:rsidR="00DF4168" w:rsidRDefault="00DF4168" w:rsidP="005A7519">
      <w:pPr>
        <w:spacing w:line="480" w:lineRule="auto"/>
      </w:pPr>
      <w:r>
        <w:t>References</w:t>
      </w:r>
    </w:p>
    <w:p w14:paraId="012C05C6" w14:textId="77777777" w:rsidR="002F1465" w:rsidRDefault="00DF4168" w:rsidP="002F3F57">
      <w:pPr>
        <w:spacing w:line="480" w:lineRule="auto"/>
        <w:ind w:left="720" w:hanging="720"/>
        <w:rPr>
          <w:noProof/>
        </w:rPr>
      </w:pPr>
      <w:r>
        <w:fldChar w:fldCharType="begin"/>
      </w:r>
      <w:r>
        <w:instrText xml:space="preserve"> ADDIN EN.REFLIST </w:instrText>
      </w:r>
      <w:r>
        <w:fldChar w:fldCharType="separate"/>
      </w:r>
      <w:bookmarkStart w:id="59" w:name="_ENREF_1"/>
      <w:r w:rsidR="002F1465">
        <w:rPr>
          <w:noProof/>
        </w:rPr>
        <w:t xml:space="preserve">Imlay, J. A. 2003. Pathways of oxidative damage. </w:t>
      </w:r>
      <w:r w:rsidR="002F1465" w:rsidRPr="002F1465">
        <w:rPr>
          <w:i/>
          <w:noProof/>
        </w:rPr>
        <w:t>Annu. Rev. Microbiol.</w:t>
      </w:r>
      <w:r w:rsidR="002F1465">
        <w:rPr>
          <w:noProof/>
        </w:rPr>
        <w:t xml:space="preserve"> </w:t>
      </w:r>
      <w:r w:rsidR="002F1465" w:rsidRPr="002F1465">
        <w:rPr>
          <w:b/>
          <w:noProof/>
        </w:rPr>
        <w:t>57</w:t>
      </w:r>
      <w:r w:rsidR="002F1465">
        <w:rPr>
          <w:noProof/>
        </w:rPr>
        <w:t>:395-418.</w:t>
      </w:r>
      <w:bookmarkEnd w:id="59"/>
    </w:p>
    <w:p w14:paraId="76E4D667" w14:textId="77777777" w:rsidR="002F1465" w:rsidRDefault="002F1465" w:rsidP="002F3F57">
      <w:pPr>
        <w:spacing w:line="480" w:lineRule="auto"/>
        <w:ind w:left="720" w:hanging="720"/>
        <w:rPr>
          <w:noProof/>
        </w:rPr>
      </w:pPr>
      <w:bookmarkStart w:id="60" w:name="_ENREF_2"/>
      <w:r>
        <w:rPr>
          <w:noProof/>
        </w:rPr>
        <w:t>King, D. W., Cooper, W. J., Rusak, S. A., Peake, B. M., Kiddle, J. J., O'Sullivan, D. W., Melamed, M. L., Morgan, C. R. &amp; Theberge, S. M. 2007. Flow injection analysis of H</w:t>
      </w:r>
      <w:r w:rsidRPr="002F1465">
        <w:rPr>
          <w:noProof/>
          <w:vertAlign w:val="subscript"/>
        </w:rPr>
        <w:t>2</w:t>
      </w:r>
      <w:r>
        <w:rPr>
          <w:noProof/>
        </w:rPr>
        <w:t>O</w:t>
      </w:r>
      <w:r w:rsidRPr="002F1465">
        <w:rPr>
          <w:noProof/>
          <w:vertAlign w:val="subscript"/>
        </w:rPr>
        <w:t>2</w:t>
      </w:r>
      <w:r>
        <w:rPr>
          <w:noProof/>
        </w:rPr>
        <w:t xml:space="preserve"> in natural waters using acridinium ester chemiluminescence: method development and optimization using a kinetic model. </w:t>
      </w:r>
      <w:r w:rsidRPr="002F1465">
        <w:rPr>
          <w:i/>
          <w:noProof/>
        </w:rPr>
        <w:t>Anal. Chem.</w:t>
      </w:r>
      <w:r>
        <w:rPr>
          <w:noProof/>
        </w:rPr>
        <w:t xml:space="preserve"> </w:t>
      </w:r>
      <w:r w:rsidRPr="002F1465">
        <w:rPr>
          <w:b/>
          <w:noProof/>
        </w:rPr>
        <w:t>79</w:t>
      </w:r>
      <w:r>
        <w:rPr>
          <w:noProof/>
        </w:rPr>
        <w:t>:4169-76.</w:t>
      </w:r>
      <w:bookmarkEnd w:id="60"/>
    </w:p>
    <w:p w14:paraId="7E1DFD18" w14:textId="77777777" w:rsidR="002F1465" w:rsidRDefault="002F1465" w:rsidP="002F3F57">
      <w:pPr>
        <w:spacing w:line="480" w:lineRule="auto"/>
        <w:ind w:left="720" w:hanging="720"/>
        <w:rPr>
          <w:noProof/>
        </w:rPr>
      </w:pPr>
      <w:bookmarkStart w:id="61" w:name="_ENREF_3"/>
      <w:r>
        <w:rPr>
          <w:noProof/>
        </w:rPr>
        <w:t>Miller, W. L. &amp; Kester, D. R. 1988. Hydrogen peroxide measurement in seawater by (</w:t>
      </w:r>
      <w:r w:rsidRPr="002F1465">
        <w:rPr>
          <w:i/>
          <w:noProof/>
        </w:rPr>
        <w:t>p</w:t>
      </w:r>
      <w:r>
        <w:rPr>
          <w:noProof/>
        </w:rPr>
        <w:t xml:space="preserve">-hydroxyphenyl)acetic acid dimerization. </w:t>
      </w:r>
      <w:r w:rsidRPr="002F1465">
        <w:rPr>
          <w:i/>
          <w:noProof/>
        </w:rPr>
        <w:t>Anal. Chem.</w:t>
      </w:r>
      <w:r>
        <w:rPr>
          <w:noProof/>
        </w:rPr>
        <w:t xml:space="preserve"> </w:t>
      </w:r>
      <w:r w:rsidRPr="002F1465">
        <w:rPr>
          <w:b/>
          <w:noProof/>
        </w:rPr>
        <w:t>60</w:t>
      </w:r>
      <w:r>
        <w:rPr>
          <w:noProof/>
        </w:rPr>
        <w:t>:2711-15.</w:t>
      </w:r>
      <w:bookmarkEnd w:id="61"/>
    </w:p>
    <w:p w14:paraId="567246F3" w14:textId="77777777" w:rsidR="002F1465" w:rsidRDefault="002F1465" w:rsidP="002F3F57">
      <w:pPr>
        <w:spacing w:line="480" w:lineRule="auto"/>
        <w:ind w:left="720" w:hanging="720"/>
        <w:rPr>
          <w:noProof/>
        </w:rPr>
      </w:pPr>
      <w:bookmarkStart w:id="62" w:name="_ENREF_4"/>
      <w:r>
        <w:rPr>
          <w:noProof/>
        </w:rPr>
        <w:t xml:space="preserve">Moore, L. R., Coe, A., Zinser, E. R., Saito, M. A., Sullivan, M. B., Lindell, D., Frois-Moniz, K., Waterbury, J. &amp; Chisholm, S. W. 2007. Culturing the marine cyanobacterium </w:t>
      </w:r>
      <w:r w:rsidRPr="002F1465">
        <w:rPr>
          <w:i/>
          <w:noProof/>
        </w:rPr>
        <w:t>Prochlorococcus</w:t>
      </w:r>
      <w:r>
        <w:rPr>
          <w:noProof/>
        </w:rPr>
        <w:t xml:space="preserve">. </w:t>
      </w:r>
      <w:r w:rsidRPr="002F1465">
        <w:rPr>
          <w:i/>
          <w:noProof/>
        </w:rPr>
        <w:t>Limnol. Oceanogr.: Methods</w:t>
      </w:r>
      <w:r>
        <w:rPr>
          <w:noProof/>
        </w:rPr>
        <w:t xml:space="preserve"> </w:t>
      </w:r>
      <w:r w:rsidRPr="002F1465">
        <w:rPr>
          <w:b/>
          <w:noProof/>
        </w:rPr>
        <w:t>5</w:t>
      </w:r>
      <w:r>
        <w:rPr>
          <w:noProof/>
        </w:rPr>
        <w:t>:353-62.</w:t>
      </w:r>
      <w:bookmarkEnd w:id="62"/>
    </w:p>
    <w:p w14:paraId="4541E5E1" w14:textId="77777777" w:rsidR="002F1465" w:rsidRDefault="002F1465" w:rsidP="002F3F57">
      <w:pPr>
        <w:spacing w:line="480" w:lineRule="auto"/>
        <w:ind w:left="720" w:hanging="720"/>
        <w:rPr>
          <w:noProof/>
        </w:rPr>
      </w:pPr>
      <w:bookmarkStart w:id="63" w:name="_ENREF_5"/>
      <w:r>
        <w:rPr>
          <w:noProof/>
        </w:rPr>
        <w:t xml:space="preserve">Morris, J. J., Johnson, Z. I., Szul, M. J., Keller, M. &amp; Zinser, E. R. 2011. Dependence of the cyanobacterium </w:t>
      </w:r>
      <w:r w:rsidRPr="002F1465">
        <w:rPr>
          <w:i/>
          <w:noProof/>
        </w:rPr>
        <w:t>Prochlorococcus</w:t>
      </w:r>
      <w:r>
        <w:rPr>
          <w:noProof/>
        </w:rPr>
        <w:t xml:space="preserve"> on hydrogen peroxide scavenging microbes for growth at the ocean's surface. </w:t>
      </w:r>
      <w:r w:rsidRPr="002F1465">
        <w:rPr>
          <w:i/>
          <w:noProof/>
        </w:rPr>
        <w:t>PLoS ONE</w:t>
      </w:r>
      <w:r>
        <w:rPr>
          <w:noProof/>
        </w:rPr>
        <w:t xml:space="preserve"> </w:t>
      </w:r>
      <w:r w:rsidRPr="002F1465">
        <w:rPr>
          <w:b/>
          <w:noProof/>
        </w:rPr>
        <w:t>6</w:t>
      </w:r>
      <w:r>
        <w:rPr>
          <w:noProof/>
        </w:rPr>
        <w:t>:e16805.</w:t>
      </w:r>
      <w:bookmarkEnd w:id="63"/>
    </w:p>
    <w:p w14:paraId="10FB3A04" w14:textId="77777777" w:rsidR="002F1465" w:rsidRDefault="002F1465" w:rsidP="002F3F57">
      <w:pPr>
        <w:spacing w:line="480" w:lineRule="auto"/>
        <w:ind w:left="720" w:hanging="720"/>
        <w:rPr>
          <w:noProof/>
        </w:rPr>
      </w:pPr>
      <w:bookmarkStart w:id="64" w:name="_ENREF_6"/>
      <w:r>
        <w:rPr>
          <w:noProof/>
        </w:rPr>
        <w:t xml:space="preserve">Morris, J. J., Kirkegaard, R., Szul, M. J., Johnson, Z. I. &amp; Zinser, E. R. 2008. Facilitation of robust growth of </w:t>
      </w:r>
      <w:r w:rsidRPr="002F1465">
        <w:rPr>
          <w:i/>
          <w:noProof/>
        </w:rPr>
        <w:t>Prochlorococcus</w:t>
      </w:r>
      <w:r>
        <w:rPr>
          <w:noProof/>
        </w:rPr>
        <w:t xml:space="preserve"> colonies and dilute liquid cultures by "helper" heterotrophic bacteria. </w:t>
      </w:r>
      <w:r w:rsidRPr="002F1465">
        <w:rPr>
          <w:i/>
          <w:noProof/>
        </w:rPr>
        <w:t>Appl. Environ. Microbiol.</w:t>
      </w:r>
      <w:r>
        <w:rPr>
          <w:noProof/>
        </w:rPr>
        <w:t xml:space="preserve"> </w:t>
      </w:r>
      <w:r w:rsidRPr="002F1465">
        <w:rPr>
          <w:b/>
          <w:noProof/>
        </w:rPr>
        <w:t>74</w:t>
      </w:r>
      <w:r>
        <w:rPr>
          <w:noProof/>
        </w:rPr>
        <w:t>:4530-34.</w:t>
      </w:r>
      <w:bookmarkEnd w:id="64"/>
    </w:p>
    <w:p w14:paraId="2B833968" w14:textId="5C3BA95C" w:rsidR="002F1465" w:rsidRDefault="002F1465" w:rsidP="002F3F57">
      <w:pPr>
        <w:spacing w:line="480" w:lineRule="auto"/>
        <w:ind w:left="720" w:hanging="720"/>
        <w:rPr>
          <w:noProof/>
        </w:rPr>
      </w:pPr>
      <w:bookmarkStart w:id="65" w:name="_ENREF_7"/>
      <w:r>
        <w:rPr>
          <w:noProof/>
        </w:rPr>
        <w:t xml:space="preserve">Rippka, R., Coursin, T., Hess, W., Lichtle, C., Scanlan, D. J., Palinska, K. A., Iteman, I., Partensky, F., Houmard, J. &amp; Herdman, M. 2000. </w:t>
      </w:r>
      <w:r w:rsidRPr="002F1465">
        <w:rPr>
          <w:i/>
          <w:noProof/>
        </w:rPr>
        <w:t>Prochlorococcus marinus</w:t>
      </w:r>
      <w:r>
        <w:rPr>
          <w:noProof/>
        </w:rPr>
        <w:t xml:space="preserve"> Chisholm et al. 1992 subsp </w:t>
      </w:r>
      <w:r w:rsidRPr="002F1465">
        <w:rPr>
          <w:i/>
          <w:noProof/>
        </w:rPr>
        <w:t>pastoris</w:t>
      </w:r>
      <w:r>
        <w:rPr>
          <w:noProof/>
        </w:rPr>
        <w:t xml:space="preserve"> subsp nov strain PCC 9511, the first axenic </w:t>
      </w:r>
      <w:r>
        <w:rPr>
          <w:noProof/>
        </w:rPr>
        <w:lastRenderedPageBreak/>
        <w:t xml:space="preserve">chlorophyll a(2)/b(2)-containing cyanobacterium (Oxyphotobacteria). </w:t>
      </w:r>
      <w:r w:rsidRPr="002F1465">
        <w:rPr>
          <w:i/>
          <w:noProof/>
        </w:rPr>
        <w:t>Int J Syst Evol</w:t>
      </w:r>
      <w:r w:rsidR="002F3F57">
        <w:rPr>
          <w:i/>
          <w:noProof/>
        </w:rPr>
        <w:t>.</w:t>
      </w:r>
      <w:r w:rsidRPr="002F1465">
        <w:rPr>
          <w:i/>
          <w:noProof/>
        </w:rPr>
        <w:t xml:space="preserve"> Microbiol</w:t>
      </w:r>
      <w:r w:rsidR="002F3F57">
        <w:rPr>
          <w:i/>
          <w:noProof/>
        </w:rPr>
        <w:t>.</w:t>
      </w:r>
      <w:r>
        <w:rPr>
          <w:noProof/>
        </w:rPr>
        <w:t xml:space="preserve"> </w:t>
      </w:r>
      <w:r w:rsidRPr="002F1465">
        <w:rPr>
          <w:b/>
          <w:noProof/>
        </w:rPr>
        <w:t>50</w:t>
      </w:r>
      <w:r>
        <w:rPr>
          <w:noProof/>
        </w:rPr>
        <w:t>:1833-47.</w:t>
      </w:r>
      <w:bookmarkEnd w:id="65"/>
    </w:p>
    <w:p w14:paraId="6FC9F7CE" w14:textId="77777777" w:rsidR="002F1465" w:rsidRDefault="002F1465" w:rsidP="002F3F57">
      <w:pPr>
        <w:spacing w:line="480" w:lineRule="auto"/>
        <w:ind w:left="720" w:hanging="720"/>
        <w:rPr>
          <w:noProof/>
        </w:rPr>
      </w:pPr>
      <w:bookmarkStart w:id="66" w:name="_ENREF_8"/>
      <w:r>
        <w:rPr>
          <w:noProof/>
        </w:rPr>
        <w:t xml:space="preserve">Zinser, E. R., Lindell, D., Johnson, Z. I., Futschik, M. E., Steglich, C., Coleman, M. L., Wright, M. A., Rector, T., Steen, R., McNulty, N., Thompson, L. R. &amp; Chisholm, S. W. 2009. Choreography of the transcriptome, photophysiology, and cell cycle of a minimal photoautotroph, </w:t>
      </w:r>
      <w:r w:rsidRPr="002F1465">
        <w:rPr>
          <w:i/>
          <w:noProof/>
        </w:rPr>
        <w:t>Prochlorococcus</w:t>
      </w:r>
      <w:r>
        <w:rPr>
          <w:noProof/>
        </w:rPr>
        <w:t xml:space="preserve">. </w:t>
      </w:r>
      <w:r w:rsidRPr="002F1465">
        <w:rPr>
          <w:i/>
          <w:noProof/>
        </w:rPr>
        <w:t>PLoS ONE</w:t>
      </w:r>
      <w:r>
        <w:rPr>
          <w:noProof/>
        </w:rPr>
        <w:t xml:space="preserve"> </w:t>
      </w:r>
      <w:r w:rsidRPr="002F1465">
        <w:rPr>
          <w:b/>
          <w:noProof/>
        </w:rPr>
        <w:t>4</w:t>
      </w:r>
      <w:r>
        <w:rPr>
          <w:noProof/>
        </w:rPr>
        <w:t>:e5135.</w:t>
      </w:r>
      <w:bookmarkEnd w:id="66"/>
    </w:p>
    <w:p w14:paraId="5EC5CC5A" w14:textId="3A051380" w:rsidR="002F1465" w:rsidRDefault="002F1465" w:rsidP="002F3F57">
      <w:pPr>
        <w:spacing w:line="480" w:lineRule="auto"/>
        <w:rPr>
          <w:noProof/>
        </w:rPr>
      </w:pPr>
    </w:p>
    <w:p w14:paraId="708719F7" w14:textId="187B99C1" w:rsidR="00FE76BA" w:rsidRDefault="00DF4168" w:rsidP="002F1465">
      <w:pPr>
        <w:spacing w:line="480" w:lineRule="auto"/>
      </w:pPr>
      <w:r>
        <w:fldChar w:fldCharType="end"/>
      </w:r>
    </w:p>
    <w:p w14:paraId="6CFEA962" w14:textId="77777777" w:rsidR="00CA7CD3" w:rsidRDefault="00CA7CD3" w:rsidP="00CA7CD3">
      <w:pPr>
        <w:spacing w:line="480" w:lineRule="auto"/>
        <w:jc w:val="center"/>
      </w:pPr>
      <w:r>
        <w:rPr>
          <w:noProof/>
        </w:rPr>
        <w:lastRenderedPageBreak/>
        <w:drawing>
          <wp:inline distT="0" distB="0" distL="0" distR="0" wp14:anchorId="3A6DFCBB" wp14:editId="2885549F">
            <wp:extent cx="5766435" cy="6787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4">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0B4FD81" w14:textId="77777777" w:rsidR="00CA7CD3" w:rsidRDefault="00CA7CD3" w:rsidP="00CA7CD3">
      <w:pPr>
        <w:spacing w:line="480" w:lineRule="auto"/>
      </w:pPr>
      <w:r>
        <w:t xml:space="preserve">Figure S4.  Growth of non-axenic </w:t>
      </w:r>
      <w:r>
        <w:rPr>
          <w:i/>
        </w:rPr>
        <w:t>Prochlorococcus</w:t>
      </w:r>
      <w:r>
        <w:t xml:space="preserve"> MIT9215 cultures in Pro99 medium supplemented with 10 mM of various buffers.  Dotted lines </w:t>
      </w:r>
      <w:proofErr w:type="gramStart"/>
      <w:r>
        <w:t>shows</w:t>
      </w:r>
      <w:proofErr w:type="gramEnd"/>
      <w:r>
        <w:t xml:space="preserve"> the mean of 3 replicate unbuffered control cultures grown under the same conditions.  Error bars are the standard errors of the three control replicates. </w:t>
      </w:r>
    </w:p>
    <w:p w14:paraId="58C6382F" w14:textId="77777777" w:rsidR="00FE76BA" w:rsidRDefault="00FE76BA">
      <w:r>
        <w:lastRenderedPageBreak/>
        <w:br w:type="page"/>
      </w:r>
    </w:p>
    <w:p w14:paraId="44481462" w14:textId="77777777" w:rsidR="00FE76BA" w:rsidRDefault="00FE76BA" w:rsidP="00FE76BA">
      <w:pPr>
        <w:spacing w:line="480" w:lineRule="auto"/>
        <w:jc w:val="center"/>
      </w:pPr>
      <w:r>
        <w:rPr>
          <w:noProof/>
        </w:rPr>
        <w:lastRenderedPageBreak/>
        <w:drawing>
          <wp:inline distT="0" distB="0" distL="0" distR="0" wp14:anchorId="4823ECFE" wp14:editId="2547A5E4">
            <wp:extent cx="5766435" cy="6787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S2.TIF"/>
                    <pic:cNvPicPr/>
                  </pic:nvPicPr>
                  <pic:blipFill rotWithShape="1">
                    <a:blip r:embed="rId4">
                      <a:extLst>
                        <a:ext uri="{28A0092B-C50C-407E-A947-70E740481C1C}">
                          <a14:useLocalDpi xmlns:a14="http://schemas.microsoft.com/office/drawing/2010/main" val="0"/>
                        </a:ext>
                      </a:extLst>
                    </a:blip>
                    <a:srcRect t="4490" r="25353"/>
                    <a:stretch/>
                  </pic:blipFill>
                  <pic:spPr bwMode="auto">
                    <a:xfrm>
                      <a:off x="0" y="0"/>
                      <a:ext cx="5767219" cy="67885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42C247" w14:textId="77777777" w:rsidR="00FE76BA" w:rsidRDefault="00FE76BA" w:rsidP="00FE76BA">
      <w:pPr>
        <w:spacing w:line="480" w:lineRule="auto"/>
      </w:pPr>
      <w:r>
        <w:t xml:space="preserve">Figure S4.  Growth of non-axenic </w:t>
      </w:r>
      <w:r>
        <w:rPr>
          <w:i/>
        </w:rPr>
        <w:t>Prochlorococcus</w:t>
      </w:r>
      <w:r>
        <w:t xml:space="preserve"> MIT9215 cultures in Pro99 medium supplemented with 10 mM of various buffers.  Dotted lines </w:t>
      </w:r>
      <w:proofErr w:type="gramStart"/>
      <w:r>
        <w:t>shows</w:t>
      </w:r>
      <w:proofErr w:type="gramEnd"/>
      <w:r>
        <w:t xml:space="preserve"> the mean of 3 replicate unbuffered control cultures grown under the same conditions.  Error bars are the standard errors of the three control replicates. </w:t>
      </w:r>
    </w:p>
    <w:p w14:paraId="6BA706C9" w14:textId="77777777" w:rsidR="00FE76BA" w:rsidRDefault="00FE76BA" w:rsidP="00FE76BA">
      <w:pPr>
        <w:spacing w:line="480" w:lineRule="auto"/>
      </w:pPr>
      <w:r>
        <w:lastRenderedPageBreak/>
        <w:t xml:space="preserve">Table S2.  Multiple linear regression of </w:t>
      </w:r>
      <w:proofErr w:type="spellStart"/>
      <w:r>
        <w:t>k</w:t>
      </w:r>
      <w:r>
        <w:rPr>
          <w:vertAlign w:val="subscript"/>
        </w:rPr>
        <w:t>HOOH</w:t>
      </w:r>
      <w:proofErr w:type="spellEnd"/>
      <w:r>
        <w:t xml:space="preserve"> vs. medium characteristics.</w:t>
      </w:r>
    </w:p>
    <w:p w14:paraId="01BC4DD3" w14:textId="77777777" w:rsidR="00FE76BA" w:rsidRDefault="00FE76BA" w:rsidP="00FE76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1149"/>
        <w:gridCol w:w="1105"/>
        <w:gridCol w:w="833"/>
        <w:gridCol w:w="779"/>
      </w:tblGrid>
      <w:tr w:rsidR="00FE76BA" w14:paraId="76225533" w14:textId="77777777" w:rsidTr="00BA6B57">
        <w:tc>
          <w:tcPr>
            <w:tcW w:w="0" w:type="auto"/>
            <w:tcBorders>
              <w:top w:val="single" w:sz="4" w:space="0" w:color="auto"/>
              <w:bottom w:val="single" w:sz="4" w:space="0" w:color="auto"/>
            </w:tcBorders>
          </w:tcPr>
          <w:p w14:paraId="3002546C" w14:textId="77777777" w:rsidR="00FE76BA" w:rsidRPr="00F53C73" w:rsidRDefault="00FE76BA" w:rsidP="00BA6B57">
            <w:pPr>
              <w:spacing w:line="480" w:lineRule="auto"/>
              <w:jc w:val="center"/>
              <w:rPr>
                <w:b/>
              </w:rPr>
            </w:pPr>
            <w:r w:rsidRPr="00F53C73">
              <w:rPr>
                <w:b/>
              </w:rPr>
              <w:t>Parameter</w:t>
            </w:r>
          </w:p>
        </w:tc>
        <w:tc>
          <w:tcPr>
            <w:tcW w:w="0" w:type="auto"/>
            <w:tcBorders>
              <w:top w:val="single" w:sz="4" w:space="0" w:color="auto"/>
              <w:bottom w:val="single" w:sz="4" w:space="0" w:color="auto"/>
            </w:tcBorders>
          </w:tcPr>
          <w:p w14:paraId="646D72A0" w14:textId="77777777" w:rsidR="00FE76BA" w:rsidRPr="00F53C73" w:rsidRDefault="00FE76BA" w:rsidP="00BA6B57">
            <w:pPr>
              <w:spacing w:line="480" w:lineRule="auto"/>
              <w:jc w:val="center"/>
              <w:rPr>
                <w:b/>
              </w:rPr>
            </w:pPr>
            <w:r w:rsidRPr="00F53C73">
              <w:rPr>
                <w:b/>
              </w:rPr>
              <w:t>Coefficient</w:t>
            </w:r>
          </w:p>
        </w:tc>
        <w:tc>
          <w:tcPr>
            <w:tcW w:w="0" w:type="auto"/>
            <w:tcBorders>
              <w:top w:val="single" w:sz="4" w:space="0" w:color="auto"/>
              <w:bottom w:val="single" w:sz="4" w:space="0" w:color="auto"/>
            </w:tcBorders>
          </w:tcPr>
          <w:p w14:paraId="55D3483A" w14:textId="77777777" w:rsidR="00FE76BA" w:rsidRPr="00F53C73" w:rsidRDefault="00FE76BA" w:rsidP="00BA6B57">
            <w:pPr>
              <w:spacing w:line="480" w:lineRule="auto"/>
              <w:jc w:val="center"/>
              <w:rPr>
                <w:b/>
              </w:rPr>
            </w:pPr>
            <w:r w:rsidRPr="00F53C73">
              <w:rPr>
                <w:b/>
              </w:rPr>
              <w:t>Std. Error</w:t>
            </w:r>
          </w:p>
        </w:tc>
        <w:tc>
          <w:tcPr>
            <w:tcW w:w="0" w:type="auto"/>
            <w:tcBorders>
              <w:top w:val="single" w:sz="4" w:space="0" w:color="auto"/>
              <w:bottom w:val="single" w:sz="4" w:space="0" w:color="auto"/>
            </w:tcBorders>
          </w:tcPr>
          <w:p w14:paraId="2586CCB0" w14:textId="77777777" w:rsidR="00FE76BA" w:rsidRPr="00F53C73" w:rsidRDefault="00FE76BA" w:rsidP="00BA6B57">
            <w:pPr>
              <w:spacing w:line="480" w:lineRule="auto"/>
              <w:jc w:val="center"/>
              <w:rPr>
                <w:b/>
              </w:rPr>
            </w:pPr>
            <w:r w:rsidRPr="00F53C73">
              <w:rPr>
                <w:b/>
              </w:rPr>
              <w:t>t</w:t>
            </w:r>
          </w:p>
        </w:tc>
        <w:tc>
          <w:tcPr>
            <w:tcW w:w="0" w:type="auto"/>
            <w:tcBorders>
              <w:top w:val="single" w:sz="4" w:space="0" w:color="auto"/>
              <w:bottom w:val="single" w:sz="4" w:space="0" w:color="auto"/>
            </w:tcBorders>
          </w:tcPr>
          <w:p w14:paraId="3F6739D4" w14:textId="77777777" w:rsidR="00FE76BA" w:rsidRPr="00F53C73" w:rsidRDefault="00FE76BA" w:rsidP="00BA6B57">
            <w:pPr>
              <w:spacing w:line="480" w:lineRule="auto"/>
              <w:jc w:val="center"/>
              <w:rPr>
                <w:b/>
              </w:rPr>
            </w:pPr>
            <w:r w:rsidRPr="00F53C73">
              <w:rPr>
                <w:b/>
              </w:rPr>
              <w:t>P</w:t>
            </w:r>
          </w:p>
        </w:tc>
      </w:tr>
      <w:tr w:rsidR="00FE76BA" w14:paraId="558BAB69" w14:textId="77777777" w:rsidTr="00BA6B57">
        <w:tc>
          <w:tcPr>
            <w:tcW w:w="0" w:type="auto"/>
            <w:tcBorders>
              <w:top w:val="single" w:sz="4" w:space="0" w:color="auto"/>
            </w:tcBorders>
          </w:tcPr>
          <w:p w14:paraId="1E2B87E8" w14:textId="77777777" w:rsidR="00FE76BA" w:rsidRDefault="00FE76BA" w:rsidP="00BA6B57">
            <w:pPr>
              <w:spacing w:line="480" w:lineRule="auto"/>
              <w:jc w:val="center"/>
            </w:pPr>
            <w:r>
              <w:t>Constant</w:t>
            </w:r>
          </w:p>
        </w:tc>
        <w:tc>
          <w:tcPr>
            <w:tcW w:w="0" w:type="auto"/>
            <w:tcBorders>
              <w:top w:val="single" w:sz="4" w:space="0" w:color="auto"/>
            </w:tcBorders>
          </w:tcPr>
          <w:p w14:paraId="070984DC" w14:textId="77777777" w:rsidR="00FE76BA" w:rsidRDefault="00FE76BA" w:rsidP="00BA6B57">
            <w:pPr>
              <w:spacing w:line="480" w:lineRule="auto"/>
              <w:jc w:val="center"/>
            </w:pPr>
            <w:r>
              <w:t>-18.049</w:t>
            </w:r>
          </w:p>
        </w:tc>
        <w:tc>
          <w:tcPr>
            <w:tcW w:w="0" w:type="auto"/>
            <w:tcBorders>
              <w:top w:val="single" w:sz="4" w:space="0" w:color="auto"/>
            </w:tcBorders>
          </w:tcPr>
          <w:p w14:paraId="133A9A88" w14:textId="77777777" w:rsidR="00FE76BA" w:rsidRDefault="00FE76BA" w:rsidP="00BA6B57">
            <w:pPr>
              <w:spacing w:line="480" w:lineRule="auto"/>
              <w:jc w:val="center"/>
            </w:pPr>
            <w:r>
              <w:t>1.7415</w:t>
            </w:r>
          </w:p>
        </w:tc>
        <w:tc>
          <w:tcPr>
            <w:tcW w:w="0" w:type="auto"/>
            <w:tcBorders>
              <w:top w:val="single" w:sz="4" w:space="0" w:color="auto"/>
            </w:tcBorders>
          </w:tcPr>
          <w:p w14:paraId="4A470622" w14:textId="77777777" w:rsidR="00FE76BA" w:rsidRDefault="00FE76BA" w:rsidP="00BA6B57">
            <w:pPr>
              <w:spacing w:line="480" w:lineRule="auto"/>
              <w:jc w:val="center"/>
            </w:pPr>
            <w:r>
              <w:t>-10.364</w:t>
            </w:r>
          </w:p>
        </w:tc>
        <w:tc>
          <w:tcPr>
            <w:tcW w:w="0" w:type="auto"/>
            <w:tcBorders>
              <w:top w:val="single" w:sz="4" w:space="0" w:color="auto"/>
            </w:tcBorders>
          </w:tcPr>
          <w:p w14:paraId="21C31F12" w14:textId="77777777" w:rsidR="00FE76BA" w:rsidRDefault="00FE76BA" w:rsidP="00BA6B57">
            <w:pPr>
              <w:spacing w:line="480" w:lineRule="auto"/>
              <w:jc w:val="center"/>
            </w:pPr>
            <w:r>
              <w:t>&lt;0.001</w:t>
            </w:r>
          </w:p>
        </w:tc>
      </w:tr>
      <w:tr w:rsidR="00FE76BA" w14:paraId="6175CEBA" w14:textId="77777777" w:rsidTr="00BA6B57">
        <w:tc>
          <w:tcPr>
            <w:tcW w:w="0" w:type="auto"/>
          </w:tcPr>
          <w:p w14:paraId="6A3BCBFC" w14:textId="77777777" w:rsidR="00FE76BA" w:rsidRDefault="00FE76BA" w:rsidP="00BA6B57">
            <w:pPr>
              <w:spacing w:line="480" w:lineRule="auto"/>
              <w:jc w:val="center"/>
            </w:pPr>
            <w:r>
              <w:t>Buffer (mM)</w:t>
            </w:r>
          </w:p>
        </w:tc>
        <w:tc>
          <w:tcPr>
            <w:tcW w:w="0" w:type="auto"/>
          </w:tcPr>
          <w:p w14:paraId="130D7185" w14:textId="77777777" w:rsidR="00FE76BA" w:rsidRDefault="00FE76BA" w:rsidP="00BA6B57">
            <w:pPr>
              <w:spacing w:line="480" w:lineRule="auto"/>
              <w:jc w:val="center"/>
            </w:pPr>
            <w:r>
              <w:t>6.689</w:t>
            </w:r>
          </w:p>
        </w:tc>
        <w:tc>
          <w:tcPr>
            <w:tcW w:w="0" w:type="auto"/>
          </w:tcPr>
          <w:p w14:paraId="05C8AF2C" w14:textId="77777777" w:rsidR="00FE76BA" w:rsidRDefault="00FE76BA" w:rsidP="00BA6B57">
            <w:pPr>
              <w:spacing w:line="480" w:lineRule="auto"/>
              <w:jc w:val="center"/>
            </w:pPr>
            <w:r>
              <w:t>0.2455</w:t>
            </w:r>
          </w:p>
        </w:tc>
        <w:tc>
          <w:tcPr>
            <w:tcW w:w="0" w:type="auto"/>
          </w:tcPr>
          <w:p w14:paraId="7EF4D2C5" w14:textId="77777777" w:rsidR="00FE76BA" w:rsidRDefault="00FE76BA" w:rsidP="00BA6B57">
            <w:pPr>
              <w:spacing w:line="480" w:lineRule="auto"/>
              <w:jc w:val="center"/>
            </w:pPr>
            <w:r>
              <w:t>27.247</w:t>
            </w:r>
          </w:p>
        </w:tc>
        <w:tc>
          <w:tcPr>
            <w:tcW w:w="0" w:type="auto"/>
          </w:tcPr>
          <w:p w14:paraId="1146BAB8" w14:textId="77777777" w:rsidR="00FE76BA" w:rsidRDefault="00FE76BA" w:rsidP="00BA6B57">
            <w:pPr>
              <w:spacing w:line="480" w:lineRule="auto"/>
              <w:jc w:val="center"/>
            </w:pPr>
            <w:r>
              <w:t>&lt;0.001</w:t>
            </w:r>
          </w:p>
        </w:tc>
      </w:tr>
      <w:tr w:rsidR="00FE76BA" w14:paraId="239E04B0" w14:textId="77777777" w:rsidTr="00BA6B57">
        <w:tc>
          <w:tcPr>
            <w:tcW w:w="0" w:type="auto"/>
          </w:tcPr>
          <w:p w14:paraId="7F88A403" w14:textId="77777777" w:rsidR="00FE76BA" w:rsidRDefault="00FE76BA" w:rsidP="00BA6B57">
            <w:pPr>
              <w:spacing w:line="480" w:lineRule="auto"/>
              <w:jc w:val="center"/>
            </w:pPr>
            <w:r>
              <w:t>Seawater (%)</w:t>
            </w:r>
          </w:p>
        </w:tc>
        <w:tc>
          <w:tcPr>
            <w:tcW w:w="0" w:type="auto"/>
          </w:tcPr>
          <w:p w14:paraId="3808FD41" w14:textId="77777777" w:rsidR="00FE76BA" w:rsidRDefault="00FE76BA" w:rsidP="00BA6B57">
            <w:pPr>
              <w:spacing w:line="480" w:lineRule="auto"/>
              <w:jc w:val="center"/>
            </w:pPr>
            <w:r>
              <w:t>0.099</w:t>
            </w:r>
          </w:p>
        </w:tc>
        <w:tc>
          <w:tcPr>
            <w:tcW w:w="0" w:type="auto"/>
          </w:tcPr>
          <w:p w14:paraId="4BE86B52" w14:textId="77777777" w:rsidR="00FE76BA" w:rsidRDefault="00FE76BA" w:rsidP="00BA6B57">
            <w:pPr>
              <w:spacing w:line="480" w:lineRule="auto"/>
              <w:jc w:val="center"/>
            </w:pPr>
            <w:r>
              <w:t>0.0185</w:t>
            </w:r>
          </w:p>
        </w:tc>
        <w:tc>
          <w:tcPr>
            <w:tcW w:w="0" w:type="auto"/>
          </w:tcPr>
          <w:p w14:paraId="2E6A1849" w14:textId="77777777" w:rsidR="00FE76BA" w:rsidRDefault="00FE76BA" w:rsidP="00BA6B57">
            <w:pPr>
              <w:spacing w:line="480" w:lineRule="auto"/>
              <w:jc w:val="center"/>
            </w:pPr>
            <w:r>
              <w:t>5.37</w:t>
            </w:r>
          </w:p>
        </w:tc>
        <w:tc>
          <w:tcPr>
            <w:tcW w:w="0" w:type="auto"/>
          </w:tcPr>
          <w:p w14:paraId="373266C9" w14:textId="77777777" w:rsidR="00FE76BA" w:rsidRDefault="00FE76BA" w:rsidP="00BA6B57">
            <w:pPr>
              <w:spacing w:line="480" w:lineRule="auto"/>
              <w:jc w:val="center"/>
            </w:pPr>
            <w:r>
              <w:t>&lt;0.001</w:t>
            </w:r>
          </w:p>
        </w:tc>
      </w:tr>
      <w:tr w:rsidR="00FE76BA" w14:paraId="2F961A56" w14:textId="77777777" w:rsidTr="00BA6B57">
        <w:tc>
          <w:tcPr>
            <w:tcW w:w="0" w:type="auto"/>
            <w:tcBorders>
              <w:bottom w:val="single" w:sz="4" w:space="0" w:color="auto"/>
            </w:tcBorders>
          </w:tcPr>
          <w:p w14:paraId="00269B59" w14:textId="77777777" w:rsidR="00FE76BA" w:rsidRPr="00F53C73" w:rsidRDefault="00FE76BA" w:rsidP="00BA6B57">
            <w:pPr>
              <w:spacing w:line="480" w:lineRule="auto"/>
              <w:jc w:val="center"/>
            </w:pPr>
            <w:r>
              <w:t>Light level (</w:t>
            </w:r>
            <w:r>
              <w:sym w:font="Symbol" w:char="F06D"/>
            </w:r>
            <w:r>
              <w:t>mol photons m</w:t>
            </w:r>
            <w:r>
              <w:rPr>
                <w:vertAlign w:val="superscript"/>
              </w:rPr>
              <w:t>-2</w:t>
            </w:r>
            <w:r>
              <w:t xml:space="preserve"> s</w:t>
            </w:r>
            <w:r>
              <w:rPr>
                <w:vertAlign w:val="superscript"/>
              </w:rPr>
              <w:t>-1</w:t>
            </w:r>
            <w:r>
              <w:t>)</w:t>
            </w:r>
          </w:p>
        </w:tc>
        <w:tc>
          <w:tcPr>
            <w:tcW w:w="0" w:type="auto"/>
            <w:tcBorders>
              <w:bottom w:val="single" w:sz="4" w:space="0" w:color="auto"/>
            </w:tcBorders>
          </w:tcPr>
          <w:p w14:paraId="64225CC7" w14:textId="77777777" w:rsidR="00FE76BA" w:rsidRDefault="00FE76BA" w:rsidP="00BA6B57">
            <w:pPr>
              <w:spacing w:line="480" w:lineRule="auto"/>
              <w:jc w:val="center"/>
            </w:pPr>
            <w:r>
              <w:t>0.19</w:t>
            </w:r>
          </w:p>
        </w:tc>
        <w:tc>
          <w:tcPr>
            <w:tcW w:w="0" w:type="auto"/>
            <w:tcBorders>
              <w:bottom w:val="single" w:sz="4" w:space="0" w:color="auto"/>
            </w:tcBorders>
          </w:tcPr>
          <w:p w14:paraId="154E2805" w14:textId="77777777" w:rsidR="00FE76BA" w:rsidRDefault="00FE76BA" w:rsidP="00BA6B57">
            <w:pPr>
              <w:spacing w:line="480" w:lineRule="auto"/>
              <w:jc w:val="center"/>
            </w:pPr>
            <w:r>
              <w:t>0.0108</w:t>
            </w:r>
          </w:p>
        </w:tc>
        <w:tc>
          <w:tcPr>
            <w:tcW w:w="0" w:type="auto"/>
            <w:tcBorders>
              <w:bottom w:val="single" w:sz="4" w:space="0" w:color="auto"/>
            </w:tcBorders>
          </w:tcPr>
          <w:p w14:paraId="726214FD" w14:textId="77777777" w:rsidR="00FE76BA" w:rsidRDefault="00FE76BA" w:rsidP="00BA6B57">
            <w:pPr>
              <w:spacing w:line="480" w:lineRule="auto"/>
              <w:jc w:val="center"/>
            </w:pPr>
            <w:r>
              <w:t>17.564</w:t>
            </w:r>
          </w:p>
        </w:tc>
        <w:tc>
          <w:tcPr>
            <w:tcW w:w="0" w:type="auto"/>
            <w:tcBorders>
              <w:bottom w:val="single" w:sz="4" w:space="0" w:color="auto"/>
            </w:tcBorders>
          </w:tcPr>
          <w:p w14:paraId="37CC318F" w14:textId="77777777" w:rsidR="00FE76BA" w:rsidRDefault="00FE76BA" w:rsidP="00BA6B57">
            <w:pPr>
              <w:spacing w:line="480" w:lineRule="auto"/>
              <w:jc w:val="center"/>
            </w:pPr>
            <w:r>
              <w:t>&lt;0.001</w:t>
            </w:r>
          </w:p>
        </w:tc>
      </w:tr>
    </w:tbl>
    <w:p w14:paraId="2C7D117C" w14:textId="77777777" w:rsidR="00FE76BA" w:rsidRDefault="00FE76BA" w:rsidP="00FE76BA">
      <w:pPr>
        <w:spacing w:line="480" w:lineRule="auto"/>
      </w:pPr>
    </w:p>
    <w:p w14:paraId="55149D62" w14:textId="77777777" w:rsidR="00FE76BA" w:rsidRDefault="00FE76BA" w:rsidP="00FE76BA"/>
    <w:p w14:paraId="6E2B918C" w14:textId="77777777" w:rsidR="00DF4168" w:rsidRDefault="00DF4168" w:rsidP="002F1465">
      <w:pPr>
        <w:spacing w:line="480" w:lineRule="auto"/>
      </w:pPr>
    </w:p>
    <w:sectPr w:rsidR="00DF4168" w:rsidSect="004F70A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ymbol">
    <w:panose1 w:val="05050102010706020507"/>
    <w:charset w:val="02"/>
    <w:family w:val="decorative"/>
    <w:pitch w:val="variable"/>
    <w:sig w:usb0="00000000" w:usb1="10000000" w:usb2="00000000" w:usb3="00000000" w:csb0="80000000" w:csb1="00000000"/>
  </w:font>
  <w:font w:name="CenturyOldStyle-Regular">
    <w:altName w:val="Times New Roman"/>
    <w:panose1 w:val="020B0604020202020204"/>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ACF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Cullough, Katie">
    <w15:presenceInfo w15:providerId="AD" w15:userId="S::dmccull8@vols.utk.edu::702a2f40-237e-4b6e-b715-df6a453c4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Phycolog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stawpp9kt55zdeszs9xs5wewd50dvwaxsxz&quot;&gt;Jeff&amp;apos;s References&lt;record-ids&gt;&lt;item&gt;340&lt;/item&gt;&lt;item&gt;345&lt;/item&gt;&lt;item&gt;417&lt;/item&gt;&lt;item&gt;1111&lt;/item&gt;&lt;item&gt;1125&lt;/item&gt;&lt;item&gt;1654&lt;/item&gt;&lt;item&gt;1779&lt;/item&gt;&lt;item&gt;2127&lt;/item&gt;&lt;/record-ids&gt;&lt;/item&gt;&lt;/Libraries&gt;"/>
  </w:docVars>
  <w:rsids>
    <w:rsidRoot w:val="0040065C"/>
    <w:rsid w:val="0005375E"/>
    <w:rsid w:val="001A5AF0"/>
    <w:rsid w:val="002F1465"/>
    <w:rsid w:val="002F3F57"/>
    <w:rsid w:val="0040065C"/>
    <w:rsid w:val="0041019D"/>
    <w:rsid w:val="00433632"/>
    <w:rsid w:val="004C681F"/>
    <w:rsid w:val="004F70A2"/>
    <w:rsid w:val="005A7519"/>
    <w:rsid w:val="006E4C4E"/>
    <w:rsid w:val="00895827"/>
    <w:rsid w:val="00A77A96"/>
    <w:rsid w:val="00CA7CD3"/>
    <w:rsid w:val="00DF4168"/>
    <w:rsid w:val="00F7748C"/>
    <w:rsid w:val="00FE76BA"/>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E2E233"/>
  <w15:docId w15:val="{3B04C200-8172-0045-AF81-9DAA0DD7A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65C"/>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36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3632"/>
    <w:rPr>
      <w:rFonts w:ascii="Lucida Grande" w:hAnsi="Lucida Grande" w:cs="Lucida Grande"/>
      <w:sz w:val="18"/>
      <w:szCs w:val="18"/>
    </w:rPr>
  </w:style>
  <w:style w:type="character" w:styleId="Hyperlink">
    <w:name w:val="Hyperlink"/>
    <w:basedOn w:val="DefaultParagraphFont"/>
    <w:uiPriority w:val="99"/>
    <w:unhideWhenUsed/>
    <w:rsid w:val="005A7519"/>
    <w:rPr>
      <w:color w:val="0000FF" w:themeColor="hyperlink"/>
      <w:u w:val="single"/>
    </w:rPr>
  </w:style>
  <w:style w:type="table" w:styleId="TableGrid">
    <w:name w:val="Table Grid"/>
    <w:basedOn w:val="TableNormal"/>
    <w:uiPriority w:val="59"/>
    <w:rsid w:val="00FE76BA"/>
    <w:rPr>
      <w:rFonts w:ascii="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9582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people" Target="people.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3712</Words>
  <Characters>21795</Characters>
  <Application>Microsoft Office Word</Application>
  <DocSecurity>0</DocSecurity>
  <Lines>573</Lines>
  <Paragraphs>197</Paragraphs>
  <ScaleCrop>false</ScaleCrop>
  <Company>UT</Company>
  <LinksUpToDate>false</LinksUpToDate>
  <CharactersWithSpaces>25310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Zinser</dc:creator>
  <cp:keywords/>
  <dc:description/>
  <cp:lastModifiedBy>McCullough, Katie</cp:lastModifiedBy>
  <cp:revision>7</cp:revision>
  <dcterms:created xsi:type="dcterms:W3CDTF">2013-09-04T18:45:00Z</dcterms:created>
  <dcterms:modified xsi:type="dcterms:W3CDTF">2023-07-25T19:04:00Z</dcterms:modified>
</cp:coreProperties>
</file>