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Toàn diện: Kinh nghiệm Quốc tế về Quản lý Tần số &amp; Quỹ đạo Chòm sao LEO/NGSO</w:t>
      </w:r>
    </w:p>
    <w:p>
      <w:r>
        <w:rPr>
          <w:b/>
        </w:rPr>
        <w:t xml:space="preserve">Tác giả / Cơ quan: </w:t>
      </w:r>
      <w:r>
        <w:t>Cục Tần số Vô tuyến điện — Nhóm Nghiên cứu Chiến lược Quốc tế</w:t>
        <w:br/>
      </w:r>
      <w:r>
        <w:rPr>
          <w:b/>
        </w:rPr>
        <w:t xml:space="preserve">Phân loại: </w:t>
      </w:r>
      <w:r>
        <w:t>Chiến lược &amp; Chính sách</w:t>
        <w:br/>
      </w:r>
      <w:r>
        <w:rPr>
          <w:b/>
        </w:rPr>
        <w:t xml:space="preserve">Tóm tắt: </w:t>
      </w:r>
      <w:r>
        <w:t>Tổng kết toàn diện kinh nghiệm của FCC (Hoa Kỳ), ITU, Ofcom (Anh) và các nước về quy chế cấp phép chòm sao tầm thấp, cơ chế suy giảm băng thông thay thế EPFD cứng nhắc, và các khuyến nghị cốt lõi cho Việt Nam.</w:t>
        <w:br/>
      </w:r>
    </w:p>
    <w:p>
      <w:r>
        <w:t>============================================================</w:t>
      </w:r>
    </w:p>
    <w:p>
      <w:pPr>
        <w:pStyle w:val="Heading1"/>
      </w:pPr>
      <w:r>
        <w:t>How the World Manages Radio Frequencies and Orbits for LEO / NGSO Satellite Constellations</w:t>
      </w:r>
    </w:p>
    <w:p>
      <w:r>
        <w:t>Research for a national regulator (Vietnam) building an LEO/NGSO spectrum-and-orbit management strategy.</w:t>
      </w:r>
    </w:p>
    <w:p>
      <w:r>
        <w:t>Compiled 2026-10-19. All research was done via the web index (the live research browser was unavailable during this run); no claim was confirmed by a live in-browser check. Primary sources (FCC, ITU, regulator documents) are preferred below; aggregator/legal-analysis sources are identified as such.</w:t>
      </w:r>
    </w:p>
    <w:p>
      <w:pPr>
        <w:pStyle w:val="Heading2"/>
      </w:pPr>
      <w:r>
        <w:t>Executive Summary</w:t>
      </w:r>
    </w:p>
    <w:p>
      <w:pPr>
        <w:pStyle w:val="ListBullet"/>
      </w:pPr>
      <w:r>
        <w:t>**FCC (USA)** moved in stages from rigid EPFD limits to operator-to-operator coordination: 2017 NGSO FSS Order set 50%-in-6-years / 100%-in-9-years milestones and a 6% ΔT/T NGSO-NGSO sharing trigger; the 2024 Second R&amp;O adopted throughput-degradation protection criteria (3% time-weighted average, 0.4% absolute unavailability increase) between earlier- and later-round systems with a 10-year sunset; and the April 30, 2026 R&amp;O replaced EPFD limits with a performance-based NGSO–GSO coordination framework in 10.7–12.7, 17.3–18.6 and 19.7–20.2 GHz. Warehousing deterrents include an escalating $3M (GSO) / $5M (NGSO) surety bond and application fees of $15,050 per NGSO system. A 5-year post-mission disposal rule (2022) and the Supplemental Coverage from Space framework (2024) complete the picture.</w:t>
      </w:r>
    </w:p>
    <w:p>
      <w:pPr>
        <w:pStyle w:val="ListBullet"/>
      </w:pPr>
      <w:r>
        <w:t>**ITU** enforces anti-warehousing through WRC-19 Resolution 35 milestones (10%/50%/100% of the constellation at +2/+5/+7 years after the 7-year bringing-into-use period), revised at WRC-23 with post-milestone obligations. Interference protection rests on PFD limits (RR Art. 21 Table 21-4), EPFD limits (Art. 22 + Res. 76 aggregate), Appendix 5 coordination arcs, and the Appendix 8 ΔT/T 6% criterion, all computed with the ITU-R S.1503 methodology.</w:t>
      </w:r>
    </w:p>
    <w:p>
      <w:pPr>
        <w:pStyle w:val="ListBullet"/>
      </w:pPr>
      <w:r>
        <w:t>**Other administrations** mix ITU-aligned licensing with national fees, milestone-like conditions (UK 12-month gateway build-out; Thailand whole-system landing rights), and ownership/local-presence conditions (Singapore).</w:t>
      </w:r>
    </w:p>
    <w:p>
      <w:pPr>
        <w:pStyle w:val="ListBullet"/>
      </w:pPr>
      <w:r>
        <w:t>**Sustainability**: the IADC 25-year rule (2021 Rev. 3) remains the global baseline, but the trend is toward shorter disposal (FCC 5 years; EU Space Act proposal: 90% disposal success) and mandatory collision avoidance.</w:t>
      </w:r>
    </w:p>
    <w:p>
      <w:pPr>
        <w:pStyle w:val="ListBullet"/>
      </w:pPr>
      <w:r>
        <w:t>**Vietnam** already has the legal hooks (Law on Radio Frequencies' "frequency and satellite orbit use licence"; ARFM under the Ministry of Science and Technology; a Space Committee; a space S&amp;T strategy to 2030; and a 2025–2030 LEO pilot that has already licensed Starlink).</w:t>
      </w:r>
    </w:p>
    <w:p>
      <w:r>
        <w:t>---</w:t>
      </w:r>
    </w:p>
    <w:p>
      <w:pPr>
        <w:pStyle w:val="Heading2"/>
      </w:pPr>
      <w:r>
        <w:t>1. FCC (USA) NGSO licensing reforms</w:t>
      </w:r>
    </w:p>
    <w:p>
      <w:pPr>
        <w:pStyle w:val="Heading3"/>
      </w:pPr>
      <w:r>
        <w:t>1a. From EPFD limits toward operator-to-operator coordination</w:t>
      </w:r>
    </w:p>
    <w:p>
      <w:r>
        <w:t>**2017 — NGSO FSS Report and Order (FCC 17-122, IB Docket No. 16-408, adopted 26 Sept 2017).**</w:t>
      </w:r>
    </w:p>
    <w:p>
      <w:r>
        <w:t>Updated the rules for non-geostationary satellites in the FSS. Key elements: amended the US Table of Frequency Allocations to accommodate NGSO and GSO use in Ka-band (20/30 GHz); **eliminated international geographic coverage requirements**; and adopted a **new default spectrum-sharing threshold mechanism** that applies between NGSO operators when they have no coordination agreement (coordination in good faith comes first; the default mechanism is the fallback). The order also introduced the **6% ΔT/T coordination trigger** for NGSO–NGSO sharing in 47 CFR 25.261 (a value borrowed from the ITU's Appendix 8 criterion): if good-faith coordination fails, the default remedy is an **equal split of spectrum during in-line (congestion) events**, with **seniority ordered by launch** — earlier-launched systems are senior. Source: https://docs.fcc.gov/public/attachments/DOC-346893A1.pdf (FCC news release, index).</w:t>
      </w:r>
    </w:p>
    <w:p>
      <w:r>
        <w:t>**2021–2023 — "Revising Spectrum Sharing Rules for Non-Geostationary Orbit, Fixed-Satellite Service Systems" (IB Docket No. 21-456).**</w:t>
      </w:r>
    </w:p>
    <w:p>
      <w:r>
        <w:t>In December 2023 the FCC opened an NPRM (on a SpaceX petition) asking whether the **first-mover priority** for NGSO–NGSO sharing should be sunset or reformed. The resulting Report and Order created an **inter-round protection framework**: systems licensed in an earlier processing round get **primary spectrum access**; systems in later rounds must demonstrate (via a degraded-throughput compatibility analysis) they can operate compatibly with earlier-round systems. The inter-round protection carried a **10-year sunset**. Sources: https://connectivitybusiness.com/news/government-legal/fcc-initiates-review-of-ngso-spectrum-sharing-regulations/; https://www.newamerica.org/insights/leo-satellites/chapter-i-fueling-connectivity-from-space-spectrum-sharing-and-coexistence/ (index).</w:t>
      </w:r>
    </w:p>
    <w:p>
      <w:r>
        <w:t>**2024 — Second Report and Order, FCC 24-117 (IB Docket No. 21-456, adopted 5 Nov 2024; 39 FCC Rcd 12656).**</w:t>
      </w:r>
    </w:p>
    <w:p>
      <w:r>
        <w:t>Refined the methodology: in the absence of a coordination agreement, later-round NGSO FSS licensees must meet two quantitative protection criteria vis-à-vis earlier-round systems —</w:t>
      </w:r>
    </w:p>
    <w:p>
      <w:pPr>
        <w:pStyle w:val="ListBullet"/>
      </w:pPr>
      <w:r>
        <w:t>**long-term: 3% time-weighted average throughput degradation** (computed per ITU-R S.2131-1), and</w:t>
      </w:r>
    </w:p>
    <w:p>
      <w:pPr>
        <w:pStyle w:val="ListBullet"/>
      </w:pPr>
      <w:r>
        <w:t>**short-term: 0.4% absolute increase in link unavailability**.</w:t>
      </w:r>
    </w:p>
    <w:p>
      <w:r>
        <w:t>The Commission declined to adopt additional metrics or an aggregate interference limit, and an Order on Reconsideration denied OneWeb's petition against the sunset. Sources: http://docs.fcc.gov/public/attachments/DOC-407457A1.pdf (FCC news release, index); https://www.lexology.com/library/detail.aspx?g=6554abb9-e969-42a7-8c47-56e62777c1ad (legal analysis, index).</w:t>
      </w:r>
    </w:p>
    <w:p>
      <w:r>
        <w:t>**2025–2026 — EPFD replacement.** An NPRM adopted 29 April 2025 proposed replacing hard EPFD limits with a degraded-throughput framework in 10.7–12.7, 17.3–18.6 and 19.7–20.2 GHz (https://www.tlp.law/2025/05/02/fcc-releases-adopted-nprm-proposing-to-update-spectrum-sharing-rules-for-satellite-broadband/, index). On **30 April 2026 the FCC adopted a unanimous Report and Order** that did so: in those bands NGSO systems must engage in **mandatory good-faith coordination with GSO systems**, with performance backstops of **3% time-weighted average throughput degradation** (for adaptive-coding-and-modulation links), a **0.1% absolute increase in unavailability**, and **−10.5 dB I/N for 80% of the time** (for non-ACM links). Aggregate interference limits were rejected; **ITU EPFD obligations for cross-border coordination were left unchanged** — the domestic change does not alter what the US must show at the ITU. Sources: https://www.jdsupra.com/legalnews/fcc-modernizes-satellite-spectrum-5634424/; https://www.lexology.com/library/detail.aspx?g=4476b010-c92c-4f71-a1e4-b8295933508d (legal analyses, index).</w:t>
      </w:r>
    </w:p>
    <w:p>
      <w:pPr>
        <w:pStyle w:val="Heading3"/>
      </w:pPr>
      <w:r>
        <w:t>1b. Milestones, performance bonds, application fees</w:t>
      </w:r>
    </w:p>
    <w:p>
      <w:pPr>
        <w:pStyle w:val="ListBullet"/>
      </w:pPr>
      <w:r>
        <w:t>**Milestones (FCC 17-122, 2017):** 50% of the authorized constellation within **6 years** of license grant, 100% within **9 years** (the prior rule demanded 100% in 6 years). Failure → the authorization is **reduced to the number of satellites actually deployed** (https://docs.fcc.gov/public/attachments/DOC-346893A1.pdf).</w:t>
      </w:r>
    </w:p>
    <w:p>
      <w:pPr>
        <w:pStyle w:val="ListBullet"/>
      </w:pPr>
      <w:r>
        <w:t>**Surety bond (FCC 15-167, IB Docket No. 12-267, 2015):** an **escalating performance bond — $3M for GSO, $5M for NGSO** — payable (forfeited) if deployment milestones are not met (https://www.federalregister.gov/documents/full_text/html/2021/03/01/2020-28907.html, index).</w:t>
      </w:r>
    </w:p>
    <w:p>
      <w:pPr>
        <w:pStyle w:val="ListBullet"/>
      </w:pPr>
      <w:r>
        <w:t>**Application fees (FCC 21-110, 2021):** **$15,050 per NGSO system** of technically identical satellites per call sign; **$2,175 for small-satellite NGSO** systems; **$15,050 for an NGSO market-access petition**; $3,555 per GSO satellite (https://docs.fcc.gov/public/attachments/FCC-21-110A1.txt, index).</w:t>
      </w:r>
    </w:p>
    <w:p>
      <w:pPr>
        <w:pStyle w:val="ListBullet"/>
      </w:pPr>
      <w:r>
        <w:t>**Proposed (not adopted) — Space Modernization NPRM (2025):** would eliminate GSO milestones; align NGSO milestones with the ITU (1 satellite within 7 years; 10% within 9; 50% within 12; 100% within 14 years of the ITU milestone start); convert the bond to a **de-escalating bond reaching $0 at 90% deployment** (for systems ≥200 satellites); and set **20-year license terms** (https://www.insideglobaltech.com/2025/11/11/fcc-proposes-space-modernization-for-the-21st-century-key-highlights-for-industry-and-stakeholders/, legal analysis, index). **Flag: proposal only — do not treat as current law.**</w:t>
      </w:r>
    </w:p>
    <w:p>
      <w:pPr>
        <w:pStyle w:val="Heading3"/>
      </w:pPr>
      <w:r>
        <w:t>1c. 5-year post-mission disposal rule</w:t>
      </w:r>
    </w:p>
    <w:p>
      <w:r>
        <w:t>Second Report and Order in **FCC 22-74 (IB Docket Nos. 18-313 and 22-271), adopted 29 Sept 2022 (4–0 vote)**: satellites in the **LEO region (below 2,000 km)** that would reenter uncontrolled must be **disposed of as soon as practicable and no later than 5 years after mission completion** — replacing the prior 25-year guideline. Applies to US-licensed satellites **and** foreign systems seeking US market access, for satellites **launched 2 or more years after adoption**. Sources: https://docs.fcc.gov/public/attachments/DA-25-256A1.pdf; https://advanced-television.com/2022/09/30/fcc-adopts-5-year-satellite-deorbiting-rule/ (index).</w:t>
      </w:r>
    </w:p>
    <w:p>
      <w:pPr>
        <w:pStyle w:val="Heading3"/>
      </w:pPr>
      <w:r>
        <w:t>1d. Supplemental Coverage from Space (SCS)</w:t>
      </w:r>
    </w:p>
    <w:p>
      <w:r>
        <w:t>Report and Order + FNPRM, **FCC 24-28 (GN Docket No. 23-65), adopted 14 March 2024**: created a **secondary, bi-directional Mobile-Satellite Service allocation** in flexible-use terrestrial bands (600 MHz, 700 MHz, 800 MHz, PCS, AWS-H) so satellites can provide **supplemental coverage from space** to terrestrial mobile networks. An SCS arrangement requires a **spectrum lease from the terrestrial licensee(s) holding all licenses in a Geographically Independent Area**; interim rules address 911 routing to public-safety answering points. Sources: https://www.tlp.law/2024/03/20/fcc-releases-adopted-scs-item/; https://www.satellitetoday.com/connectivity/2024/02/23/fcc-releases-the-draft-order-for-its-satellite-to-cell-regulatory-framework/ (index).</w:t>
      </w:r>
    </w:p>
    <w:p>
      <w:pPr>
        <w:pStyle w:val="Heading3"/>
      </w:pPr>
      <w:r>
        <w:t>Section 1 — summary table</w:t>
      </w:r>
    </w:p>
    <w:p>
      <w:r>
        <w:t>| Instrument / document | Year | Key numeric requirements | Source URL |</w:t>
      </w:r>
    </w:p>
    <w:p>
      <w:r>
        <w:t>|---|---|---|---|</w:t>
      </w:r>
    </w:p>
    <w:p>
      <w:r>
        <w:t>| NGSO FSS R&amp;O, FCC 17-122 (IB Dkt 16-408) | 2017 | Milestones: 50% in 6 yrs, 100% in 9 yrs; fail → authorization reduced; 6% ΔT/T NGSO–NGSO sharing trigger (47 CFR 25.261); default = equal spectrum split, seniority by launch | https://docs.fcc.gov/public/attachments/DOC-346893A1.pdf |</w:t>
      </w:r>
    </w:p>
    <w:p>
      <w:r>
        <w:t>| NGSO sharing R&amp;O (IB Dkt 21-456) | 2023 | Earlier-round systems get primary access; 10-year sunset on inter-round protection | https://www.newamerica.org/insights/leo-satellites/chapter-i-fueling-connectivity-from-space-spectrum-sharing-and-coexistence/ |</w:t>
      </w:r>
    </w:p>
    <w:p>
      <w:r>
        <w:t>| NGSO sharing 2nd R&amp;O, FCC 24-117 (39 FCC Rcd 12656) | 2024 | Later-round must protect earlier-round: 3% time-weighted avg throughput degradation; 0.4% absolute increase in link unavailability | http://docs.fcc.gov/public/attachments/DOC-407457A1.pdf |</w:t>
      </w:r>
    </w:p>
    <w:p>
      <w:r>
        <w:t>| NGSO–GSO R&amp;O (EPFD replacement) | 2026 | Bands 10.7–12.7, 17.3–18.6, 19.7–20.2 GHz: 3% throughput (ACM), 0.1% unavailability, −10.5 dB I/N 80% (non-ACM); ITU EPFD obligations unchanged | https://www.jdsupra.com/legalnews/fcc-modernizes-satellite-spectrum-5634424/ |</w:t>
      </w:r>
    </w:p>
    <w:p>
      <w:r>
        <w:t>| Surety bond, FCC 15-167 (IB Dkt 12-267) | 2015 | Escalating bond: $3M GSO / $5M NGSO, forfeited if milestones missed | https://www.federalregister.gov/documents/full_text/html/2021/03/01/2020-28907.html |</w:t>
      </w:r>
    </w:p>
    <w:p>
      <w:r>
        <w:t>| Application fees, FCC 21-110 | 2021 | $15,050 per NGSO system; $2,175 small-sat NGSO; $15,050 NGSO market access | https://docs.fcc.gov/public/attachments/FCC-21-110A1.txt |</w:t>
      </w:r>
    </w:p>
    <w:p>
      <w:r>
        <w:t>| 5-yr deorbit, 2nd R&amp;O in FCC 22-74 (IB Dkts 18-313, 22-271) | 2022 | LEO &lt;2,000 km: deorbit ≤5 yrs after mission end; applies to sats launched ≥2 yrs after adoption | https://docs.fcc.gov/public/attachments/DA-25-256A1.pdf |</w:t>
      </w:r>
    </w:p>
    <w:p>
      <w:r>
        <w:t>| SCS framework, FCC 24-28 (GN Dkt 23-65) | 2024 | Secondary bi-directional MSS; lease required from terrestrial licensee(s) in each Geographically Independent Area | https://www.tlp.law/2024/03/20/fcc-releases-adopted-scs-item/ |</w:t>
      </w:r>
    </w:p>
    <w:p>
      <w:r>
        <w:t>---</w:t>
      </w:r>
    </w:p>
    <w:p>
      <w:pPr>
        <w:pStyle w:val="Heading2"/>
      </w:pPr>
      <w:r>
        <w:t>2. ITU</w:t>
      </w:r>
    </w:p>
    <w:p>
      <w:pPr>
        <w:pStyle w:val="Heading3"/>
      </w:pPr>
      <w:r>
        <w:t>2a. WRC-19 Resolution 35 milestone approach</w:t>
      </w:r>
    </w:p>
    <w:p>
      <w:r>
        <w:t>**Resolution 35 (WRC-19)** imposes a milestone-based deployment schedule to combat spectrum/orbit warehousing. Definitions and values:</w:t>
      </w:r>
    </w:p>
    <w:p>
      <w:pPr>
        <w:pStyle w:val="ListBullet"/>
      </w:pPr>
      <w:r>
        <w:t>**Bringing into use (BIU):** deployment of **one satellite** in one orbital plane of the filed constellation, within the standard **7-year regulatory period** (RR No. 11.48) from the API.</w:t>
      </w:r>
    </w:p>
    <w:p>
      <w:pPr>
        <w:pStyle w:val="ListBullet"/>
      </w:pPr>
      <w:r>
        <w:t>**Milestones (after the end of the 7-year period):** **10%** of the filed constellation within **2 years**; **50%** within **5 years**; **100%** within **7 years**.</w:t>
      </w:r>
    </w:p>
    <w:p>
      <w:pPr>
        <w:pStyle w:val="ListBullet"/>
      </w:pPr>
      <w:r>
        <w:t>Missing a milestone → the recorded (MIFR) constellation is **reduced** to the number actually deployed.</w:t>
      </w:r>
    </w:p>
    <w:p>
      <w:pPr>
        <w:pStyle w:val="ListBullet"/>
      </w:pPr>
      <w:r>
        <w:t>**Applies to** NGSO systems in the **FSS, MSS and BSS** in the bands **10.7–13.25 GHz, 13.75–14.5 GHz, 17.3–20.2 GHz, 27.5–30 GHz, 37.5–42.5 GHz, and 47.2–51.4 GHz**.</w:t>
      </w:r>
    </w:p>
    <w:p>
      <w:r>
        <w:t>Sources: https://www.itu.int/en/mediacentre/backgrounders/Pages/Non-geostationary-satellite-systems.aspx; https://www.itu.int/en/ITU-R/space/WRS20space/1-2-Non-GSO%20space%20station%20Milestone%20implementation%20and%20Res%2076%20(WRC-19)%20implementation.pdf (index).</w:t>
      </w:r>
    </w:p>
    <w:p>
      <w:r>
        <w:t>**WRC-23 revision of Resolution 35:** added **post-milestone provisions** (including a new "post-milestone procedure") and a requirement to **report orbital characteristics** of the deployed constellation — first at **11 years after the BIU deadline**, then **every 4 years**. Source: https://www.lexology.com/library/detail.aspx?g=346339b2-4c2f-40d4-84a7-a4ae3e1b5e1f (legal analysis, index).</w:t>
      </w:r>
    </w:p>
    <w:p>
      <w:pPr>
        <w:pStyle w:val="Heading3"/>
      </w:pPr>
      <w:r>
        <w:t>2b. International filing process</w:t>
      </w:r>
    </w:p>
    <w:p>
      <w:r>
        <w:t>The standard sequence for a satellite network (per the ITU Space FAQ and the Radio Regulations):</w:t>
      </w:r>
    </w:p>
    <w:p>
      <w:r>
        <w:t>1. **Advance Publication Information (API)** — RR Art. 9 §I (No. 9.1); published in the BR IFIC; **4-month commenting period** (No. 9.3).</w:t>
      </w:r>
    </w:p>
    <w:p>
      <w:r>
        <w:t>2. **Coordination** — RR Art. 9 §II: **No. 9.7** (GSO–GSO), **No. 9.11A** (GSO vs terrestrial / other cases), **No. 9.12** (NGSO–NGSO), **No. 9.12A** (NGSO vs GSO), **No. 9.13** (GSO vs NGSO), **Nos. 9.7A/9.7B** (coordination of specific earth stations — see pfd triggers in (e) below).</w:t>
      </w:r>
    </w:p>
    <w:p>
      <w:r>
        <w:t>3. **Notification** — RR Art. 11 (examination under Nos. 11.31/11.32, including EPFD checks).</w:t>
      </w:r>
    </w:p>
    <w:p>
      <w:r>
        <w:t>4. **Recording in the MIFR** — with the 7-year BIU regulatory period (No. 11.44/11.48); **EPFD compliance is examined at the coordination-request and notification stages** (WRC-19 clarified single-entry and aggregate EPFD verification, the latter via consultative meetings).</w:t>
      </w:r>
    </w:p>
    <w:p>
      <w:r>
        <w:t>Source: https://www.itu.int/hub/space/faq/ (ITU Space FAQ, index).</w:t>
      </w:r>
    </w:p>
    <w:p>
      <w:pPr>
        <w:pStyle w:val="Heading3"/>
      </w:pPr>
      <w:r>
        <w:t>2c. PFD limits — RR Article 21, Table 21-4</w:t>
      </w:r>
    </w:p>
    <w:p>
      <w:r>
        <w:t>The pfd (power flux-density) at the Earth's surface from space-station emissions, as a function of **angle of arrival δ** above the horizontal:</w:t>
      </w:r>
    </w:p>
    <w:p>
      <w:pPr>
        <w:pStyle w:val="ListBullet"/>
      </w:pPr>
      <w:r>
        <w:t>**10.7–11.7 GHz (FSS downlink):**</w:t>
      </w:r>
    </w:p>
    <w:p>
      <w:pPr>
        <w:pStyle w:val="ListBullet"/>
      </w:pPr>
      <w:r>
        <w:t>δ = 0–5°: **−150 dB(W/m²)/4 kHz** (equivalently **−126 dB(W/m²)/1 MHz**)</w:t>
      </w:r>
    </w:p>
    <w:p>
      <w:pPr>
        <w:pStyle w:val="ListBullet"/>
      </w:pPr>
      <w:r>
        <w:t>δ = 5–25°: **−150 + 0.5(δ − 5)** dB(W/m²)/4 kHz (equivalently −126 + 0.5(δ − 5) /1 MHz)</w:t>
      </w:r>
    </w:p>
    <w:p>
      <w:pPr>
        <w:pStyle w:val="ListBullet"/>
      </w:pPr>
      <w:r>
        <w:t>δ = 25–90°: **−140 dB(W/m²)/4 kHz** (equivalently **−116 dB(W/m²)/1 MHz**)</w:t>
      </w:r>
    </w:p>
    <w:p>
      <w:pPr>
        <w:pStyle w:val="ListBullet"/>
      </w:pPr>
      <w:r>
        <w:t>**17.7–19.3 GHz (FSS downlink):**</w:t>
      </w:r>
    </w:p>
    <w:p>
      <w:pPr>
        <w:pStyle w:val="ListBullet"/>
      </w:pPr>
      <w:r>
        <w:t>δ = 0–5°: **−115 dB(W/m²)/1 MHz**</w:t>
      </w:r>
    </w:p>
    <w:p>
      <w:pPr>
        <w:pStyle w:val="ListBullet"/>
      </w:pPr>
      <w:r>
        <w:t>δ = 5–25°: **−115 + 0.5(δ − 5)** dB(W/m²)/1 MHz</w:t>
      </w:r>
    </w:p>
    <w:p>
      <w:pPr>
        <w:pStyle w:val="ListBullet"/>
      </w:pPr>
      <w:r>
        <w:t>δ = 25–90°: **−105 dB(W/m²)/1 MHz**</w:t>
      </w:r>
    </w:p>
    <w:p>
      <w:pPr>
        <w:pStyle w:val="ListBullet"/>
      </w:pPr>
      <w:r>
        <w:t>For **NGSO systems with ≥51 satellites**, the limits are **reduced by factor X**: **X = (5/119)(n − 50)** for n ≤ 288; **X = (1/69)(n + 402)** for n &gt; 288 (implemented in the US at 47 CFR 2.106 n. 21.16; the reduction originates in the WRC-19 revisions to the Table 21-4 regime).</w:t>
      </w:r>
    </w:p>
    <w:p>
      <w:r>
        <w:t>Sources: https://www.govregs.com/regulations/47/47CFR25.208; https://www.govregs.com/regulations/47/47CFR2.106-21.16 (US CFR mirroring RR, index).</w:t>
      </w:r>
    </w:p>
    <w:p>
      <w:pPr>
        <w:pStyle w:val="Heading3"/>
      </w:pPr>
      <w:r>
        <w:t>2d. EPFD limits — RR Article 22</w:t>
      </w:r>
    </w:p>
    <w:p>
      <w:r>
        <w:t>Article 22 (Tables 22-1A through 22-4) caps the **equivalent pfd (epfd)** produced by NGSO FSS systems into GSO receivers — single-entry limits per system plus aggregate limits:</w:t>
      </w:r>
    </w:p>
    <w:p>
      <w:pPr>
        <w:pStyle w:val="ListBullet"/>
      </w:pPr>
      <w:r>
        <w:t>**Single-entry epfd↓ (Table 22-1A), 10.7–12.75 GHz:** the mask's **never-to-be-exceeded point is −160 dBW/m²/40 kHz** (SES licence filing, 18 Nov 2025). ⚠️ **Flag:** the full single-entry mask curve (limit vs. percentage of time) could not be verified from an open citable source in this run.</w:t>
      </w:r>
    </w:p>
    <w:p>
      <w:pPr>
        <w:pStyle w:val="ListBullet"/>
      </w:pPr>
      <w:r>
        <w:t>**Aggregate epfd↓ (Resolution 76, Table 1A), 10.7–12.75 GHz** — sum of all NGSO systems, per reference antenna:</w:t>
      </w:r>
    </w:p>
    <w:p>
      <w:pPr>
        <w:pStyle w:val="ListBullet"/>
      </w:pPr>
      <w:r>
        <w:t>60 cm antenna (S.1428 pattern), 40 kHz: **−170 dBW/m² (0% of time), −168.6 (90%), −165.3 (99%), −160.4 (99.97%), −160 (99.99%), −160 (100%)**</w:t>
      </w:r>
    </w:p>
    <w:p>
      <w:pPr>
        <w:pStyle w:val="ListBullet"/>
      </w:pPr>
      <w:r>
        <w:t>1.2 m: **−176.5 (0%), −173 (99.5%), −164 (99.84%), −161.5 (99.945%), −161 (100%)**</w:t>
      </w:r>
    </w:p>
    <w:p>
      <w:pPr>
        <w:pStyle w:val="ListBullet"/>
      </w:pPr>
      <w:r>
        <w:t>3 m: **−185.3 (0%), −184 (99.97%), −180.8 (99.99%), −180 (100%)**</w:t>
      </w:r>
    </w:p>
    <w:p>
      <w:pPr>
        <w:pStyle w:val="ListBullet"/>
      </w:pPr>
      <w:r>
        <w:t>10 m: **−191.5 (0%), −190 (99.97%), −189.8 (99.99%), −189 (100%)**</w:t>
      </w:r>
    </w:p>
    <w:p>
      <w:r>
        <w:t>Sources: https://api-prod.fcc.gov/icfs-attachment/exp/api/v1/11e847291b5db610b2252062f54bcba3 (SES FCC filing, index); https://www.itu.int/hub/publication/R0C0A00000F0026/ (Resolution 76 text).</w:t>
      </w:r>
    </w:p>
    <w:p>
      <w:pPr>
        <w:pStyle w:val="Heading3"/>
      </w:pPr>
      <w:r>
        <w:t>2e. Coordination triggers — Appendix 5 arcs and Appendix 8 ΔT/T</w:t>
      </w:r>
    </w:p>
    <w:p>
      <w:pPr>
        <w:pStyle w:val="ListBullet"/>
      </w:pPr>
      <w:r>
        <w:t>**RR Appendix 5, Table 5-1 coordination arcs** (band-overlap + a GSO space station within ±arc of the nominal orbital position; NGSO–GSO coordination under No. 9.12A uses the same arcs relative to the GSO position). Per ITU WRS training material (post-WRC-15):</w:t>
      </w:r>
    </w:p>
    <w:p>
      <w:pPr>
        <w:pStyle w:val="ListBullet"/>
      </w:pPr>
      <w:r>
        <w:t>**±6°: Ku band** — FSS/BSS, BSS/FSS, FSS/SRS, SRS/FSS</w:t>
      </w:r>
    </w:p>
    <w:p>
      <w:pPr>
        <w:pStyle w:val="ListBullet"/>
      </w:pPr>
      <w:r>
        <w:t>**±7°: C band** — FSS/FSS</w:t>
      </w:r>
    </w:p>
    <w:p>
      <w:pPr>
        <w:pStyle w:val="ListBullet"/>
      </w:pPr>
      <w:r>
        <w:t>**±8°: Ka band and above** — FSS/FSS (also FSS/MetSat, MetSat/FSS at 18 GHz; FSS/BSS, BSS/FSS)</w:t>
      </w:r>
    </w:p>
    <w:p>
      <w:pPr>
        <w:pStyle w:val="ListBullet"/>
      </w:pPr>
      <w:r>
        <w:t>**±12°: 21.4–22 GHz (Regions 1 &amp; 3)** — BSS/BSS</w:t>
      </w:r>
    </w:p>
    <w:p>
      <w:pPr>
        <w:pStyle w:val="ListBullet"/>
      </w:pPr>
      <w:r>
        <w:t>**±16°: Ka band** — FSS/BSS, BSS/FSS, BSS/BSS</w:t>
      </w:r>
    </w:p>
    <w:p>
      <w:pPr>
        <w:pStyle w:val="ListBullet"/>
      </w:pPr>
      <w:r>
        <w:t>So for **NGSO vs GSO in FSS bands: ±6° in Ku-band, ±8° in Ka-band and above**.</w:t>
      </w:r>
    </w:p>
    <w:p>
      <w:r>
        <w:t>Sources: https://WWW.ITU.INT/en/ITU-R/space/WRS18space/WRS18_Coordination_between_GSO_Networks_06122018.pdf (ITU WRS-18 training, index); confirmed for &gt;17.3 GHz (±8°/±16°) in the ITU Space FAQ (https://www.itu.int/hub/space/faq/).</w:t>
      </w:r>
    </w:p>
    <w:p>
      <w:pPr>
        <w:pStyle w:val="ListBullet"/>
      </w:pPr>
      <w:r>
        <w:t>**Appendix 8 ΔT/T criterion:** coordination under No. 9.7 is triggered when the calculated **ΔT/T exceeds 6%** (applies where no coordination arc is defined — e.g., NGSO vs GSO cases outside arcs and other services). Source: ITU-R BO.1505 (Annex 2) presentation, index.</w:t>
      </w:r>
    </w:p>
    <w:p>
      <w:pPr>
        <w:pStyle w:val="ListBullet"/>
      </w:pPr>
      <w:r>
        <w:t>**Nos. 9.7A/9.7B specific-earth-station pfd triggers** (Rec. ITU-R S.1714-1): **10.7–12.75 GHz:** **−174.5 dB(W/(m²·40 kHz))** (NGSO with all satellites ≤2,500 km) or **−202** (any satellite &gt;2,500 km); **17.8–18.6 / 19.7–20.2 GHz:** **−157 dB(W/(m²·MHz))** or **−185**. Source: https://www.itu.int/dms_pub/itu-r/opb/rep/R-REP-S.1714-1-2022-PDF-E.pdf (index).</w:t>
      </w:r>
    </w:p>
    <w:p>
      <w:pPr>
        <w:pStyle w:val="Heading3"/>
      </w:pPr>
      <w:r>
        <w:t>2f. ITU-R S.1503 EPFD methodology</w:t>
      </w:r>
    </w:p>
    <w:p>
      <w:r>
        <w:t>**Recommendation ITU-R S.1503-2** is the *functional description* to be used in developing software tools that check whether an NGSO FSS system complies with the Article 22 EPFD limits. What it simulates:</w:t>
      </w:r>
    </w:p>
    <w:p>
      <w:pPr>
        <w:pStyle w:val="ListBullet"/>
      </w:pPr>
      <w:r>
        <w:t>computation of **epfd↓ (downlink), epfd↑ (uplink) and epfd-IS (inter-satellite)** statistics from the filed pfd and e.i.r.p. masks of the NGSO system;</w:t>
      </w:r>
    </w:p>
    <w:p>
      <w:pPr>
        <w:pStyle w:val="ListBullet"/>
      </w:pPr>
      <w:r>
        <w:t>a **worst-case geometry (WCG) algorithm** plus time-stepped simulation of the constellation against reference GSO links/antennas;</w:t>
      </w:r>
    </w:p>
    <w:p>
      <w:pPr>
        <w:pStyle w:val="ListBullet"/>
      </w:pPr>
      <w:r>
        <w:t>generation of **cumulative distribution functions (CDFs)** of epfd, compared point-by-point against the Article 22 / Resolution 76 masks.</w:t>
      </w:r>
    </w:p>
    <w:p>
      <w:r>
        <w:t>Two independently developed implementations (Agenium, Transfinite) were cross-validated and agreed to **&lt;0.1 dB**. Source: https://www.itu.int/en/ITU-R/space/snl/SNL/Supplement/S1503/R-REC-S.1503-2-201706-I!!PDF-E.pdf (index).</w:t>
      </w:r>
    </w:p>
    <w:p>
      <w:pPr>
        <w:pStyle w:val="Heading3"/>
      </w:pPr>
      <w:r>
        <w:t>2g. WRC-23 decisions affecting NGSO</w:t>
      </w:r>
    </w:p>
    <w:p>
      <w:pPr>
        <w:pStyle w:val="ListBullet"/>
      </w:pPr>
      <w:r>
        <w:t>**Resolution 8 (WRC-23)** — *tolerance of certain orbital characteristics* of NGSO FSS/BSS/MSS space stations: administrations must keep inclination, apogee/perigee altitudes and argument of perigee within declared tolerances (prevents "paper constellations" drifting from filings). https://www.itu.int/hub/publication/R0C0A0000110041/</w:t>
      </w:r>
    </w:p>
    <w:p>
      <w:pPr>
        <w:pStyle w:val="ListBullet"/>
      </w:pPr>
      <w:r>
        <w:t>**Resolution 123 (WRC-23)** — NGSO **earth stations in motion (ESIMs)**: 17.7–18.6, 18.8–19.3, 19.7–20.2 GHz (space-to-Earth) and 27.5–29.1, 29.5–30 GHz (Earth-to-space). https://www.itu.int/hub/publication/R0C0A0000110054/</w:t>
      </w:r>
    </w:p>
    <w:p>
      <w:pPr>
        <w:pStyle w:val="ListBullet"/>
      </w:pPr>
      <w:r>
        <w:t>**Resolution 35 revised** — post-milestone procedures and periodic orbital-characteristics reporting (see 2a).</w:t>
      </w:r>
    </w:p>
    <w:p>
      <w:pPr>
        <w:pStyle w:val="ListBullet"/>
      </w:pPr>
      <w:r>
        <w:t>**Resolution 679 (WRC-23)** — **NGSO satellite-to-satellite (inter-satellite) links** in FSS bands 18.1–18.6, 18.8–20.2, 27.5–30 GHz; guard conditions include **pfd −110 dBW/(m²·200 MHz) in 18.6–18.8 GHz over oceans** and **e.i.r.p. 52.5 dBW/10 MHz in 27.5–30 GHz**.</w:t>
      </w:r>
    </w:p>
    <w:p>
      <w:pPr>
        <w:pStyle w:val="ListBullet"/>
      </w:pPr>
      <w:r>
        <w:t>**Agenda item 1.19** — new FSS (space-to-Earth) allocation **17.3–17.7 GHz in Region 2** (GSO and NGSO).</w:t>
      </w:r>
    </w:p>
    <w:p>
      <w:pPr>
        <w:pStyle w:val="ListBullet"/>
      </w:pPr>
      <w:r>
        <w:t>**EPFD work program** — studies invited for WRC-27 on possible revision of EPFD limits; **yearly aggregate-EPFD consultative meetings** institutionalized.</w:t>
      </w:r>
    </w:p>
    <w:p>
      <w:r>
        <w:t>Source for WRC-23 package: https://www.lexology.com/library/detail.aspx?g=346339b2-4c2f-40d4-84a7-a4ae3e1b5e1f (legal analysis, index).</w:t>
      </w:r>
    </w:p>
    <w:p>
      <w:pPr>
        <w:pStyle w:val="Heading3"/>
      </w:pPr>
      <w:r>
        <w:t>Section 2 — summary table</w:t>
      </w:r>
    </w:p>
    <w:p>
      <w:r>
        <w:t>| Instrument / document | Year | Key numeric requirements | Source URL |</w:t>
      </w:r>
    </w:p>
    <w:p>
      <w:r>
        <w:t>|---|---|---|---|</w:t>
      </w:r>
    </w:p>
    <w:p>
      <w:r>
        <w:t>| Res. 35 (WRC-19); revised WRC-23 | 2019 / 2023 | BIU = 1 sat in 7-yr period; milestones 10%/50%/100% at +2/+5/+7 yrs; bands 10.7–13.25, 13.75–14.5, 17.3–20.2, 27.5–30, 37.5–42.5, 47.2–51.4 GHz; WRC-23 adds reporting at 11 yrs then every 4 yrs | https://www.itu.int/en/mediacentre/backgrounders/Pages/Non-geostationary-satellite-systems.aspx |</w:t>
      </w:r>
    </w:p>
    <w:p>
      <w:r>
        <w:t>| RR Art. 9 / Art. 11 filing | — | API → 4-mo comments → coordination (9.7/9.11A/9.12/9.12A/9.13/9.7A/9.7B) → notification → MIFR | https://www.itu.int/hub/space/faq/ |</w:t>
      </w:r>
    </w:p>
    <w:p>
      <w:r>
        <w:t>| RR Art. 21 Table 21-4 | — | 10.7–11.7 GHz: −150/−126 dB(W/m²) (0–5°), +0.5(δ−5), −140/−116 (25–90°); 17.7–19.3 GHz: −115/−105 /MHz, +0.5(δ−5); NGSO ≥51 sats reduced by X (X=(5/119)(n−50), n≤288; X=(1/69)(n+402), n&gt;288) | https://www.govregs.com/regulations/47/47CFR25.208 |</w:t>
      </w:r>
    </w:p>
    <w:p>
      <w:r>
        <w:t>| RR Art. 22 Tables 22-1A–22-4; Res. 76 | — | Single-entry epfd↓ 10.7–12.75 GHz: −160 dBW/m²/40 kHz never-exceed; aggregate Res. 76 Table 1A e.g. 60 cm: −170/−168.6/−165.3/−160.4/−160/−160 at 0/90/99/99.97/99.99/100% time | https://www.itu.int/hub/publication/R0C0A00000F0026/ |</w:t>
      </w:r>
    </w:p>
    <w:p>
      <w:r>
        <w:t>| RR App. 5 Table 5-1; App. 8 | — | Arcs: ±6° Ku FSS/BSS; ±7° C FSS/FSS; ±8° Ka+ FSS/FSS; ±12° 21.4–22 GHz BSS; ±16° Ka FSS/BSS; ΔT/T &gt; 6% triggers coordination | https://WWW.ITU.INT/en/ITU-R/space/WRS18space/WRS18_Coordination_between_GSO_Networks_06122018.pdf |</w:t>
      </w:r>
    </w:p>
    <w:p>
      <w:r>
        <w:t>| Rec. ITU-R S.1503-2 | 2017 | Functional spec for EPFD software; simulates epfd↓/↑/IS via masks + worst-case geometry; validated &lt;0.1 dB | https://www.itu.int/en/ITU-R/space/snl/SNL/Supplement/S1503/R-REC-S.1503-2-201706-I!!PDF-E.pdf |</w:t>
      </w:r>
    </w:p>
    <w:p>
      <w:r>
        <w:t>| WRC-23: Res. 8, Res. 123, Res. 679; AI 1.19 | 2023 | Orbital tolerances (Res. 8); NGSO ESIMs (Res. 123); NGSO inter-satellite links: −110 dBW/(m²·200 MHz) in 18.6–18.8 GHz over oceans, 52.5 dBW/10 MHz in 27.5–30 GHz (Res. 679); new R2 FSS 17.3–17.7 GHz s-E (AI 1.19) | https://www.lexology.com/library/detail.aspx?g=346339b2-4c2f-40d4-84a7-a4ae3e1b5e1f |</w:t>
      </w:r>
    </w:p>
    <w:p>
      <w:r>
        <w:t>---</w:t>
      </w:r>
    </w:p>
    <w:p>
      <w:pPr>
        <w:pStyle w:val="Heading2"/>
      </w:pPr>
      <w:r>
        <w:t>3. Other administrations' models (concise)</w:t>
      </w:r>
    </w:p>
    <w:p>
      <w:pPr>
        <w:pStyle w:val="ListBullet"/>
      </w:pPr>
      <w:r>
        <w:t>**United Kingdom (Ofcom):** NGSO licensing under the Wireless Telegraphy Act with cost-based fees — **£500/year per NGSO gateway, £200/year per NGSO network**; gateway fees move to Administered Incentive Pricing from **early 2027** (statement 31 Mar 2026). Licence condition: each **gateway must be operational within 12 months of grant** (a milestone-like anti-warehousing lever). Orbital/debris licensing is separate, under the **Space Industry Act 2018** (UK Civil Aviation Authority). Source: https://www.ofcom.org.uk/siteassets/resources/documents/spectrum/licensing-and-certification/information-and-guidance-on-ngso-licensing-decisions-31-mar-2026.pdf (index).</w:t>
      </w:r>
    </w:p>
    <w:p>
      <w:pPr>
        <w:pStyle w:val="ListBullet"/>
      </w:pPr>
      <w:r>
        <w:t>**France (ANFR/ARCEP; French Space Operations Act, Loi n° 2008-518, 3 June 2008):** national authorization for space operations; the **2023 revision** allows a **single authorization covering a whole constellation** (previously per-satellite); Technical Regulation updated **June 2024**; requires **deorbit within 25 years** and **third-party liability insurance ≥ €60M**. (Researched in prior session; figures from regulatory summaries — re-verify against the FSOA text before citing formally.)</w:t>
      </w:r>
    </w:p>
    <w:p>
      <w:pPr>
        <w:pStyle w:val="ListBullet"/>
      </w:pPr>
      <w:r>
        <w:t>**European Union (EU Space Act proposal, June 2025; Council doc ST-7806-2026):** would impose **90% end-of-life disposal success rate**, **mandatory collision-avoidance services**, special measures for **constellations &gt;100 satellites**, manoeuvrability requirements above **400 km**, penalties up to **2% of global turnover**, and an authorization fee of **~€100,000 per platform**. IRIS² (the EU secure-connectivity constellation) would operate under this framework once adopted — proposal only. Source: https://data.consilium.europa.eu/doc/document/ST-7806-2026-INIT/en/pdf (index).</w:t>
      </w:r>
    </w:p>
    <w:p>
      <w:pPr>
        <w:pStyle w:val="ListBullet"/>
      </w:pPr>
      <w:r>
        <w:t>**Japan (MIC):** radio-station licensing under the **Radio Act**; space activities authorized under the **Space Activities Act (2016)** with debris-mitigation conditions; government funds competitiveness via the **Space Strategy Fund** and the **J-LEO** initiative (~$1B, with a Rakuten/AST SpaceMobile JV preliminarily selected). (Regulatory summaries; fee/debris specifics not re-verified this run.)</w:t>
      </w:r>
    </w:p>
    <w:p>
      <w:pPr>
        <w:pStyle w:val="ListBullet"/>
      </w:pPr>
      <w:r>
        <w:t>**South Korea (MSIT/KASA):** satellite licensing under MSIT; **KASA (Korea AeroSpace Administration) established May 2024**; in **June 2025 MSIT granted OneWeb a LEO regulatory licence** — the first **cross-border satellite supply agreement** approved in Korea. (News reports; Korea-specific debris conditions not verified this run.)</w:t>
      </w:r>
    </w:p>
    <w:p>
      <w:pPr>
        <w:pStyle w:val="ListBullet"/>
      </w:pPr>
      <w:r>
        <w:t>**Australia (ACMA):** space licences (space licence + space receive licence) under the **Space (Launches and Returns) Act 2018**; **Space Objects Determinations ASOD/FSOD 2025**; requires a **debris-mitigation strategy aligned with UN guidelines** per launch/return permit — no hard statutory disposal deadline yet; spectrum apparatus licences up to **20 years**. (Regulatory summaries.)</w:t>
      </w:r>
    </w:p>
    <w:p>
      <w:pPr>
        <w:pStyle w:val="ListBullet"/>
      </w:pPr>
      <w:r>
        <w:t>**Singapore (IMDA):** **Satellite Orbital Slot Licence Guidelines v2 (23 Sept 2025)**: licensee must be **Singapore-incorporated**, satellite coverage must **include all of Singapore**, **TT&amp;C and NOC in Singapore**, **≥50% effective ownership** of the satellite, and demonstrated familiarity with ITU RR; satellite communication station licence **$100/year per station** ($50 portable). Source: https://www.imda.gov.sg/-/media/imda/files/regulation-licensing-and-consultations/licensing-licenses/satellite-orbital-slot/5cbf608a-9b3b-47c3-a8cd-fdd2a0d81c2d.pdf (index).</w:t>
      </w:r>
    </w:p>
    <w:p>
      <w:pPr>
        <w:pStyle w:val="ListBullet"/>
      </w:pPr>
      <w:r>
        <w:t>**Thailand (NBTC):** **landing-rights (Foreign Satellite Approval)** regime simplified 2026: **one-time fee THB 2,000,000 per Right per satellite filing** (for NGSO, **one Right = one entire system per licensee**), plus an **annual fee of 3.2% of the operator's satellite-business revenues in Thailand**; the Right is exclusive to one operator per satellite/system; orbital-slot licences carry replacement timelines and financial guarantees (e.g., Thaicom 50.5°E case). Source: https://www.fosrlaw.com/en/news-articles/2026/08/thailand-simplifies-satellite-landing-rights-regime (index).</w:t>
      </w:r>
    </w:p>
    <w:p>
      <w:pPr>
        <w:pStyle w:val="Heading3"/>
      </w:pPr>
      <w:r>
        <w:t>Section 3 — summary table</w:t>
      </w:r>
    </w:p>
    <w:p>
      <w:r>
        <w:t>| Administration | Instrument / document | Year | Key numeric requirements | Source URL |</w:t>
      </w:r>
    </w:p>
    <w:p>
      <w:r>
        <w:t>|---|---|---|---|---|</w:t>
      </w:r>
    </w:p>
    <w:p>
      <w:r>
        <w:t>| UK | Ofcom NGSO licensing guidance | 2026 | Gateway £500/yr, network £200/yr; AIP from early 2027; gateway operational ≤12 months | https://www.ofcom.org.uk/siteassets/resources/documents/spectrum/licensing-and-certification/information-and-guidance-on-ngso-licensing-decisions-31-mar-2026.pdf |</w:t>
      </w:r>
    </w:p>
    <w:p>
      <w:r>
        <w:t>| France | Space Operations Act (Loi n° 2008-518); 2023 revision | 2008 / 2023 | Single constellation authorization; deorbit ≤25 yrs; insurance ≥€60M | — (verify in FSOA text) |</w:t>
      </w:r>
    </w:p>
    <w:p>
      <w:r>
        <w:t>| EU | EU Space Act proposal (ST-7806-2026) | 2025 (proposal) | 90% disposal success; collision avoidance mandatory; &gt;100-sat measures; fine ≤2% turnover; ~€100k/platform fee | https://data.consilium.europa.eu/doc/document/ST-7806-2026-INIT/en/pdf |</w:t>
      </w:r>
    </w:p>
    <w:p>
      <w:r>
        <w:t>| Japan | Radio Act; Space Activities Act | 2016 | Debris-mitigation licence conditions | — (not re-verified) |</w:t>
      </w:r>
    </w:p>
    <w:p>
      <w:r>
        <w:t>| South Korea | MSIT licensing; KASA | 2024–2025 | OneWeb LEO licence June 2025 (first cross-border supply agreement) | — (news reports) |</w:t>
      </w:r>
    </w:p>
    <w:p>
      <w:r>
        <w:t>| Australia | Space (Launches and Returns) Act 2018; ASOD/FSOD 2025 | 2018 / 2025 | Debris-mitigation strategy per permit; spectrum licences ≤20 yrs | — (regulatory summaries) |</w:t>
      </w:r>
    </w:p>
    <w:p>
      <w:r>
        <w:t>| Singapore | IMDA Orbital Slot Licence Guidelines v2 | 2025 | SG-incorporated; coverage incl. all SG; TT&amp;C/NOC in SG; ≥50% ownership; station licence $100/yr | https://www.imda.gov.sg/-/media/imda/files/regulation-licensing-and-consultations/licensing-licenses/satellite-orbital-slot/5cbf608a-9b3b-47c3-a8cd-fdd2a0d81c2d.pdf |</w:t>
      </w:r>
    </w:p>
    <w:p>
      <w:r>
        <w:t>| Thailand | NBTC landing-rights regime | 2026 | THB 2,000,000 one-time per Right/system; 3.2%/yr of Thai satellite revenues; one system per licensee | https://www.fosrlaw.com/en/news-articles/2026/08/thailand-simplifies-satellite-landing-rights-regime |</w:t>
      </w:r>
    </w:p>
    <w:p>
      <w:r>
        <w:t>---</w:t>
      </w:r>
    </w:p>
    <w:p>
      <w:pPr>
        <w:pStyle w:val="Heading2"/>
      </w:pPr>
      <w:r>
        <w:t>4. Space sustainability</w:t>
      </w:r>
    </w:p>
    <w:p>
      <w:pPr>
        <w:pStyle w:val="Heading3"/>
      </w:pPr>
      <w:r>
        <w:t>4a. IADC Space Debris Mitigation Guidelines</w:t>
      </w:r>
    </w:p>
    <w:p>
      <w:r>
        <w:t>The **Inter-Agency Space Debris Coordination Committee (IADC) Space Debris Mitigation Guidelines** — first issued **2002**, revised as **Rev. 1 (2007)**, **Rev. 2 (2020)**, **Rev. 3 (2021)** — are the global baseline (endorsed in reduced form by UN COPUOS and the UN General Assembly in 2007). Core provisions:</w:t>
      </w:r>
    </w:p>
    <w:p>
      <w:pPr>
        <w:pStyle w:val="ListBullet"/>
      </w:pPr>
      <w:r>
        <w:t>**Post-mission disposal, LEO (guideline 5.3.2):** spacecraft or orbital stages ending their operational life in orbits passing through or potentially interfering with the LEO region should be **deorbited (direct reentry preferred)** or manoeuvred into an orbit with an **expected residual orbital lifetime of ≤25 years**. The **probability of successful disposal must be ≥90%**. **For specific operations such as large constellations, a shorter residual orbital lifetime and/or a higher probability of success may be necessary.** Retrieval is also a recognized disposal option.</w:t>
      </w:r>
    </w:p>
    <w:p>
      <w:pPr>
        <w:pStyle w:val="ListBullet"/>
      </w:pPr>
      <w:r>
        <w:t>**GEO graveyard (5.3.1):** minimum perigee raise of **235 km × (1000 × CR × A/m)** (CR = solar radiation pressure coefficient; A/m = area-to-dry-mass ratio), eccentricity **≤0.003**.</w:t>
      </w:r>
    </w:p>
    <w:p>
      <w:pPr>
        <w:pStyle w:val="ListBullet"/>
      </w:pPr>
      <w:r>
        <w:t>**Passivation (5.2)** of stored energy at end of mission; **break-up avoidance** during operations (5.1).</w:t>
      </w:r>
    </w:p>
    <w:p>
      <w:pPr>
        <w:pStyle w:val="ListBullet"/>
      </w:pPr>
      <w:r>
        <w:t>**Collision avoidance (5.4):** mission design must **estimate and limit the probability of accidental collision** with known objects over the orbital lifetime; **if reliable orbital data are available, avoidance manoeuvres and launch-window coordination may be used** when collision risk is not negligible; design must limit consequences of small-debris strikes that could prevent post-mission disposal.</w:t>
      </w:r>
    </w:p>
    <w:p>
      <w:r>
        <w:t>Sources: https://sup1qywlxpbg9wylvrlmvhrlopvprl3qi.vcatalyst.top/library/iadc-space-debris-guidelines-revision-2.pdf (index); https://www.talksatellite.com/EMEA2331.html (index).</w:t>
      </w:r>
    </w:p>
    <w:p>
      <w:pPr>
        <w:pStyle w:val="Heading3"/>
      </w:pPr>
      <w:r>
        <w:t>4b. Trend toward shorter post-mission disposal and collision-avoidance expectations</w:t>
      </w:r>
    </w:p>
    <w:p>
      <w:pPr>
        <w:pStyle w:val="ListBullet"/>
      </w:pPr>
      <w:r>
        <w:t>**FCC 5-year rule (2022)** — the first major regulator to break from the 25-year norm (see §1c).</w:t>
      </w:r>
    </w:p>
    <w:p>
      <w:pPr>
        <w:pStyle w:val="ListBullet"/>
      </w:pPr>
      <w:r>
        <w:t>**EU Space Act proposal (2025)** — **90% end-of-life disposal success rate** as a hard target and **mandatory collision-avoidance services** for operators (see §3).</w:t>
      </w:r>
    </w:p>
    <w:p>
      <w:pPr>
        <w:pStyle w:val="ListBullet"/>
      </w:pPr>
      <w:r>
        <w:t>**UN COPUOS Guidelines for the Long-term Sustainability of Outer Space Activities (2019)** — 21 voluntary guidelines covering debris mitigation, conjunction assessment and information sharing; widely referenced in national licensing conditions (e.g., Australia's debris-mitigation strategy requirement). ⚠️ *Background knowledge; not sourced from a primary document in this run — verify against the COPUOS text before formal citation.*</w:t>
      </w:r>
    </w:p>
    <w:p>
      <w:pPr>
        <w:pStyle w:val="ListBullet"/>
      </w:pPr>
      <w:r>
        <w:t>Net effect for large constellations: regulators increasingly expect **designed-in manoeuvrability, active conjunction screening and avoidance, passivation, and disposal timelines well under 25 years** — with the IADC guideline itself (5.3.2) already anticipating **stricter treatment for large constellations**.</w:t>
      </w:r>
    </w:p>
    <w:p>
      <w:pPr>
        <w:pStyle w:val="Heading3"/>
      </w:pPr>
      <w:r>
        <w:t>Section 4 — summary table</w:t>
      </w:r>
    </w:p>
    <w:p>
      <w:r>
        <w:t>| Instrument / document | Year | Key numeric requirements | Source URL |</w:t>
      </w:r>
    </w:p>
    <w:p>
      <w:r>
        <w:t>|---|---|---|---|</w:t>
      </w:r>
    </w:p>
    <w:p>
      <w:r>
        <w:t>| IADC Space Debris Mitigation Guidelines (Rev. 3) | 2002 / 2021 | LEO residual lifetime ≤25 yrs; disposal success ≥90%; large constellations: shorter lifetime/higher probability may be needed; GEO perigee raise ≥235 km×(1000·CR·A/m), e ≤0.003 | https://sup1qywlxpbg9wylvrlmvhrlopvprl3qi.vcatalyst.top/library/iadc-space-debris-guidelines-revision-2.pdf |</w:t>
      </w:r>
    </w:p>
    <w:p>
      <w:r>
        <w:t>| UN COPUOS Space Debris Mitigation Guidelines | 2007 (UNGA endorsement) | Reduced consensus set based on IADC | — (verify) |</w:t>
      </w:r>
    </w:p>
    <w:p>
      <w:r>
        <w:t>| UN COPUOS Long-term Sustainability Guidelines | 2019 | 21 voluntary guidelines (debris, conjunctions, info sharing) | — (verify) |</w:t>
      </w:r>
    </w:p>
    <w:p>
      <w:r>
        <w:t>| FCC 5-yr deorbit rule | 2022 | ≤5 yrs after mission end (LEO &lt;2,000 km) | https://docs.fcc.gov/public/attachments/DA-25-256A1.pdf |</w:t>
      </w:r>
    </w:p>
    <w:p>
      <w:r>
        <w:t>| EU Space Act proposal | 2025 (proposal) | 90% disposal success; mandatory collision avoidance | https://data.consilium.europa.eu/doc/document/ST-7806-2026-INIT/en/pdf |</w:t>
      </w:r>
    </w:p>
    <w:p>
      <w:r>
        <w:t>---</w:t>
      </w:r>
    </w:p>
    <w:p>
      <w:pPr>
        <w:pStyle w:val="Heading2"/>
      </w:pPr>
      <w:r>
        <w:t>5. Vietnam</w:t>
      </w:r>
    </w:p>
    <w:p>
      <w:pPr>
        <w:pStyle w:val="Heading3"/>
      </w:pPr>
      <w:r>
        <w:t>5a. Legal documents on satellite frequency management</w:t>
      </w:r>
    </w:p>
    <w:p>
      <w:pPr>
        <w:pStyle w:val="ListBullet"/>
      </w:pPr>
      <w:r>
        <w:t>**Law on Radio Frequencies (Law No. 42/2009/QH12, amended 2018):** the framework law; anyone wishing to use radio frequencies must obtain a licence. Licence types include **"frequency and satellite orbit use licences"** (giấy phép sử dụng tần số và quỹ đạo vệ tinh) — the direct legal hook for NGSO constellation authorization. Licensing principles require compliance with the Radio Frequency Master Plan; licences may be issued directly, by examination/selection, or by auction. Source: https://webiis08.mondaq.com/social-media/1288674/tmt-comparative-guide (index).</w:t>
      </w:r>
    </w:p>
    <w:p>
      <w:pPr>
        <w:pStyle w:val="ListBullet"/>
      </w:pPr>
      <w:r>
        <w:t>**Authority of Radio Frequency Management (ARFM — Cục Tần số vô tuyến điện):** the specialized agency under the **Ministry of Science and Technology** (formerly the Ministry of Information and Communications) responsible for spectrum licensing, including satellite frequency and equipment approvals.</w:t>
      </w:r>
    </w:p>
    <w:p>
      <w:pPr>
        <w:pStyle w:val="ListBullet"/>
      </w:pPr>
      <w:r>
        <w:t>**Operational precedent:** under the LEO pilot (see 5c), the **Radio Frequency Department separately approved Starlink's spectrum use and radio equipment** alongside the telecom licence — illustrating the dual licensing track (telecom service + frequency use) that foreign NGSO systems face. Source: https://www.thefreelibrary.com/Via%3e%3e%2b%2bt+Nam+opens+door+to+Starlink+to+boost+nationwide+digital...-a0875052860 (index).</w:t>
      </w:r>
    </w:p>
    <w:p>
      <w:pPr>
        <w:pStyle w:val="Heading3"/>
      </w:pPr>
      <w:r>
        <w:t>5b. National space strategy to 2030 (and beyond)</w:t>
      </w:r>
    </w:p>
    <w:p>
      <w:pPr>
        <w:pStyle w:val="ListBullet"/>
      </w:pPr>
      <w:r>
        <w:t>**Strategy on research into and application of aerospace technology to 2020** — **Decision No. 137/2006/QD-TTg (14 June 2006)**; created the policy framework and the Space Committee (see 5c).</w:t>
      </w:r>
    </w:p>
    <w:p>
      <w:pPr>
        <w:pStyle w:val="ListBullet"/>
      </w:pPr>
      <w:r>
        <w:t>**Strategy for development and application of space science and technology to 2030** — signed by Prime Minister Nguyễn Xuân Phúc (**Decision No. 169/QD-TTg, 4 Feb 2021**). Goals: widely apply space S&amp;T; selectively invest in defence/security, natural-resource and environmental management; build national capacity. Targets: **~300 experts and 3,000 engineers** trained in space S&amp;T by 2030; **~10 specialized laboratories** upgraded; master technologies for **optical sensors/radars on Earth-observation satellites**, **in-country assembly/integration/testing of small satellites**, terminal devices, Earth stations and telecom-satellite transponders; develop national PNT capacity. Source: https://www.roc-taiwan.org/vn_en/post/3984.html (index).</w:t>
      </w:r>
    </w:p>
    <w:p>
      <w:pPr>
        <w:pStyle w:val="ListBullet"/>
      </w:pPr>
      <w:r>
        <w:t>**Post-2030 orientation:** Vietnam aims for a **mid-level regional position by 2030** and, after 2030, **independent satellite-technology development** capability; the Prime Minister has directed work **toward a national space law** and major national programmes (Earth observation, shared satellite-data infrastructure). Source: https://www.thefreelibrary.com/PM+calls+for+accelerated+space+technology+development+in+Vietnam.-a0878528448 (index). ⚠️ **Flag:** no document explicitly titled "space strategy to 2040" was found; 2040-level specifics remain unverified.</w:t>
      </w:r>
    </w:p>
    <w:p>
      <w:pPr>
        <w:pStyle w:val="Heading3"/>
      </w:pPr>
      <w:r>
        <w:t>5c. Role of the Vietnam Space Committee and ARFM</w:t>
      </w:r>
    </w:p>
    <w:p>
      <w:pPr>
        <w:pStyle w:val="ListBullet"/>
      </w:pPr>
      <w:r>
        <w:t>**Vietnam Committee for Aerospace Technology Research and Application ("Vietnam Space Committee")** — established by **Decision No. 137/2006/QD-TTg** to **assist the Prime Minister in organizing and directing implementation of the space strategy**; the Committee itself was set up in **2010** and **enhanced in January 2013** to include representatives of national agencies, notably the **Ministry of National Defense**. Source: https://english.luatvietnam.vn/decision-no-137-2006-qd-ttg-dated-june-14-2006-of-the-prime-minister-approving-the-strategy-on-research-into-and-application-of-aerospace-technolo-18791-doc1.html (index).</w:t>
      </w:r>
    </w:p>
    <w:p>
      <w:pPr>
        <w:pStyle w:val="ListBullet"/>
      </w:pPr>
      <w:r>
        <w:t>**ARFM (Cục Tần số vô tuyến điện):** the regulator that would license NGSO spectrum/orbit use under the Law on Radio Frequencies; it is the counterpart agency for any ITU filing and frequency-coordination work (Vietnam is the notifying administration for its satellite networks).</w:t>
      </w:r>
    </w:p>
    <w:p>
      <w:pPr>
        <w:pStyle w:val="ListBullet"/>
      </w:pPr>
      <w:r>
        <w:t>**LEO pilot — Decision No. 659/QD-TTg (26 March 2025):** permits a **five-year pilot of LEO satellite telecommunications services without foreign-ownership limits**, subject to national defence/security requirements, concluding **before 1 January 2031**. Under it, the Authority of Telecommunications (MST) licensed **Starlink Services Vietnam Co., Ltd.** for satellite telecom services with network infrastructure, and the Radio Frequency Department approved spectrum/equipment use — rollout plan: **4 gateway stations and up to 600,000 user terminals** nationwide. Source: https://www.thefreelibrary.com/Via%3e%3e%2b%2bt+Nam+opens+door+to+Starlink+to+boost+nationwide+digital...-a0875052860 (index).</w:t>
      </w:r>
    </w:p>
    <w:p>
      <w:pPr>
        <w:pStyle w:val="Heading3"/>
      </w:pPr>
      <w:r>
        <w:t>Section 5 — summary table</w:t>
      </w:r>
    </w:p>
    <w:p>
      <w:r>
        <w:t>| Instrument / document | Year | Key numeric requirements | Source URL |</w:t>
      </w:r>
    </w:p>
    <w:p>
      <w:r>
        <w:t>|---|---|---|---|</w:t>
      </w:r>
    </w:p>
    <w:p>
      <w:r>
        <w:t>| Law on Radio Frequencies (42/2009/QH12, amended 2018) | 2009 / 2018 | Licence types incl. "frequency and satellite orbit use licence"; licensing via direct grant, examination, or auction | https://webiis08.mondaq.com/social-media/1288674/tmt-comparative-guide |</w:t>
      </w:r>
    </w:p>
    <w:p>
      <w:r>
        <w:t>| Decision 137/2006/QD-TTg | 2006 | Space strategy to 2020; established Vietnam Space Committee (set up 2010, enhanced Jan 2013 incl. Defense Ministry) | https://english.luatvietnam.vn/decision-no-137-2006-qd-ttg-dated-june-14-2006-of-the-prime-minister-approving-the-strategy-on-research-into-and-application-of-aerospace-technolo-18791-doc1.html |</w:t>
      </w:r>
    </w:p>
    <w:p>
      <w:r>
        <w:t>| Decision 169/QD-TTg (space S&amp;T strategy to 2030) | 2021 | 300 experts + 3,000 engineers by 2030; ~10 labs; in-country small-sat assembly/integration | https://www.roc-taiwan.org/vn_en/post/3984.html |</w:t>
      </w:r>
    </w:p>
    <w:p>
      <w:r>
        <w:t>| Decision 659/QD-TTg (LEO pilot) | 2025 | 5-yr pilot, no foreign-ownership cap, ends before 1 Jan 2031; Starlink: 4 gateways + ≤600,000 terminals | https://www.thefreelibrary.com/Via%3e%3e%2b%2bt+Nam+opens+door+to+Starlink+to+boost+nationwide+digital...-a0875052860 |</w:t>
      </w:r>
    </w:p>
    <w:p>
      <w:r>
        <w:t>---</w:t>
      </w:r>
    </w:p>
    <w:p>
      <w:pPr>
        <w:pStyle w:val="Heading2"/>
      </w:pPr>
      <w:r>
        <w:t>Could not verify / open questions</w:t>
      </w:r>
    </w:p>
    <w:p>
      <w:r>
        <w:t>1. **Full Table 22-1A single-entry EPFD-down mask curve** (limit vs. percentage of time for 10.7–12.75 GHz) — only the −160 dBW/m²/40 kHz never-to-exceed anchor was verified from an open source (SES FCC filing). Needs the RR Article 22 text.</w:t>
      </w:r>
    </w:p>
    <w:p>
      <w:r>
        <w:t>2. **Ku-band PFD Table 21-4 / EPFD exact footnote text in the RR itself** — values reported via the US CFR mirror (47 CFR 25.208 / 2.106); the underlying RR footnote wording (especially the X-factor reduction for large NGSO constellations) was not read directly from the Radio Regulations (the RR-2024 PDF download failed; not retried per guidance).</w:t>
      </w:r>
    </w:p>
    <w:p>
      <w:r>
        <w:t>3. **France/Japan/South Korea/Australia specifics** (FSOA fee/debris figures; Japan's Radio Act conditions; Korea debris conditions; Australia's ASOD/FSOD content) — carried from prior-session research; recommend re-verification against primary texts before formal citation.</w:t>
      </w:r>
    </w:p>
    <w:p>
      <w:r>
        <w:t>4. **No "space strategy to 2040" document found** — Vietnam's formal strategy runs to 2030; post-2030 goals exist only as policy statements (PM remarks, move toward a national space law).</w:t>
      </w:r>
    </w:p>
    <w:p>
      <w:r>
        <w:t>5. **FCC Space Modernization NPRM (2025)** proposals (ITU-aligned milestones, de-escalating bond, 20-year terms) are **proposed, not adopted** — do not treat as current law.</w:t>
      </w:r>
    </w:p>
    <w:p>
      <w:r>
        <w:t>6. **EU Space Act** figures are from a **2025 proposal** (Council doc ST-7806-2026), not adopted law.</w:t>
      </w:r>
    </w:p>
    <w:p>
      <w:r>
        <w:t>7. All findings in this report are **index-sourced** (the live research browser was unavailable during this run); none was confirmed by a live in-browser read.</w:t>
      </w:r>
    </w:p>
    <w:p>
      <w:pPr>
        <w:pStyle w:val="Heading2"/>
      </w:pPr>
      <w:r>
        <w:t>Sources</w:t>
      </w:r>
    </w:p>
    <w:p>
      <w:r>
        <w:t>Full source list with read dates and index/live flags is in `notes/fcc.md`, `notes/itu.md`, and `notes/admins-sustainability-vietnam.md` in this research directory. Key primary sources: FCC documents (docs.fcc.gov), ITU publications (itu.int hub/publication pages, WRS training materials, ITU-R Recommendations S.1503-2 and S.1714-1, Space FAQ), Ofcom (ofcom.org.uk), IMDA (imda.gov.sg), Council of the EU (data.consilium.europa.eu), luatvietnam.vn. Secondary/legal-analysis sources: Lexology, JD Supra, tlp.law, TelecomTV, ConnectivityBusiness, New America, TNGlobal, fosrlaw.com.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