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SỔ TAY KỸ THUẬT: QUY TRÌNH ĐĂNG KÝ VỊ TRÍ QUỸ ĐẠO VÀ TẦN SỐ CHÒM SAO LEO TẠI CỤC VÔ TUYẾN ĐIỆN QUỐC TẾ (ITU-BR)</w:t>
      </w:r>
    </w:p>
    <w:p>
      <w:r>
        <w:t>Hướng dẫn Chi tiết Trình tự Lập Hồ sơ API, Yêu cầu Phối hợp (CR) và Đăng ký MIFR theo Thể lệ Vô tuyến điện ITU</w:t>
      </w:r>
    </w:p>
    <w:p>
      <w:r>
        <w:t>Cơ quan biên soạn: Ban Điều phối Tần số Quốc tế (ITU/WRC) — Cục Tần số Vô tuyến điện</w:t>
        <w:br/>
        <w:t>Ngày ban hành: 2026-10-20 | Phân loại: Quy định Quốc tế (ITU)</w:t>
      </w:r>
    </w:p>
    <w:p>
      <w:pPr>
        <w:pStyle w:val="Heading1"/>
      </w:pPr>
      <w:r>
        <w:t>1. CÁC GIAI ĐOẠN ĐĂNG KÝ MẠNG VỆ TINH THEO THỂ LỆ VÔ TUYẾN ĐIỆN ITU</w:t>
      </w:r>
    </w:p>
    <w:p>
      <w:r>
        <w:t>Quy trình đăng ký mạng vệ tinh phi địa tĩnh (NGSO/LEO) quốc tế tuân theo 4 bước cơ bản quy định tại Điều 9 và Điều 11 của Thể lệ Vô tuyến điện (ITU Radio Regulations - RR):</w:t>
        <w:br/>
        <w:t>1. Thông tin xuất bản sớm (Advance Publication Information - API): Công bố thông tin chung về mạng vệ tinh để các nước thành viên ITU nắm bắt sơ bộ.</w:t>
        <w:br/>
        <w:t>2. Yêu cầu Phối hợp (Coordination Request - CR/C): Xác định danh sách các mạng vệ tinh GSO và chòm sao NGSO bị ảnh hưởng theo các tiêu chí kích hoạt (trigger arcs, EPFD, delta-T/T).</w:t>
        <w:br/>
        <w:t>3. Thông báo chính thức (Notification under Article 11): Gửi hồ sơ chi tiết sau khi đã đạt được thỏa thuận phối hợp kỹ thuật với các quốc gia liên quan.</w:t>
        <w:br/>
        <w:t>4. Ghi nhận vào Bảng Đăng bạ Tần số Quốc tế (Master International Frequency Register - MIFR): Khẳng định quyền bảo vệ quốc tế đối với việc sử dụng tần số và quỹ đạo của mạng vệ tinh.</w:t>
      </w:r>
    </w:p>
    <w:p>
      <w:pPr>
        <w:pStyle w:val="Heading1"/>
      </w:pPr>
      <w:r>
        <w:t>2. THỦ TỤC PHỐI HỢP KỸ THUẬT (COORDINATION MECHANISM)</w:t>
      </w:r>
    </w:p>
    <w:p>
      <w:r>
        <w:t>- Theo Khoản số 9.12: Phối hợp song phương giữa hệ thống NGSO với hệ thống NGSO khác sử dụng chung băng tần.</w:t>
        <w:br/>
        <w:t>- Theo Khoản số 9.12A: Phối hợp giữa hệ thống NGSO với mạng vệ tinh địa tĩnh GSO (bảo vệ quyền ưu tiên của mạng GSO theo Điều 22).</w:t>
        <w:br/>
        <w:t>- Tiêu chí can nhiễu delta-T/T &gt; 6% theo Phụ lục 8 (Appendix 8) và ngưỡng suy giảm thông lượng (Throughput Degradation) theo Khuyến nghị ITU-R S.2131.</w:t>
        <w:br/>
        <w:t>- Ứng dụng phần mềm mô phỏng kiểm tra EPFD của ITU (GIBC / ITU Validation Tool) tuân thủ Khuyến nghị ITU-R S.1503-2.</w:t>
      </w:r>
    </w:p>
    <w:p>
      <w:pPr>
        <w:pStyle w:val="Heading1"/>
      </w:pPr>
      <w:r>
        <w:t>3. KIỂM SOÁT THỜI HẠN VÀ CƠ CHẾ RES 35 CHỐNG XÍ PHẦN TẦN SỐ</w:t>
      </w:r>
    </w:p>
    <w:p>
      <w:r>
        <w:t>- Thời hạn đưa vào sử dụng (Bringing Into Use - BIU): Tối đa 7 năm kể từ ngày ITU tiếp nhận hồ sơ API đầy đủ.</w:t>
        <w:br/>
        <w:t>- Bắt buộc triển khai tối thiểu 1 vệ tinh trên 1 mặt phẳng quỹ đạo và duy trì hoạt động liên tục trong 90 ngày.</w:t>
        <w:br/>
        <w:t>- Lộ trình Nghị quyết 35 (WRC-19): Triển khai đủ 10% chòm sao trong 2 năm, 50% trong 5 năm, và 100% trong 7 năm kể từ khi kết thúc thời hạn 7 năm BIU.</w:t>
        <w:br/>
        <w:t>- Chế tài xử lý: Nếu không đạt mốc, dung lượng vệ tinh được bảo vệ trong MIFR sẽ bị cắt giảm tương ứng với số lượng vệ tinh thực tế đã phóng lên quỹ đạo.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