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Tham luận: Khung Quản lý và Tính Bền vững Không gian Vũ trụ đối với Chòm sao LEO tại Việt Nam</w:t>
      </w:r>
    </w:p>
    <w:p>
      <w:r>
        <w:rPr>
          <w:b/>
        </w:rPr>
        <w:t xml:space="preserve">Tác giả / Cơ quan: </w:t>
      </w:r>
      <w:r>
        <w:t>Hội đồng Khoa học &amp; Công nghệ Vũ trụ Việt Nam</w:t>
        <w:br/>
      </w:r>
      <w:r>
        <w:rPr>
          <w:b/>
        </w:rPr>
        <w:t xml:space="preserve">Phân loại: </w:t>
      </w:r>
      <w:r>
        <w:t>Kỹ thuật &amp; Tính toán</w:t>
        <w:br/>
      </w:r>
      <w:r>
        <w:rPr>
          <w:b/>
        </w:rPr>
        <w:t xml:space="preserve">Tóm tắt: </w:t>
      </w:r>
      <w:r>
        <w:t>Đánh giá các quy định quốc tế về thu hồi vệ tinh sau nhiệm vụ (quy tắc 5 năm của FCC, tiêu chuẩn IADC), kiểm soát rác thải không gian và kiến nghị chính sách thử nghiệm cấp phép tại Việt Nam.</w:t>
        <w:br/>
      </w:r>
    </w:p>
    <w:p>
      <w:r>
        <w:t>============================================================</w:t>
      </w:r>
    </w:p>
    <w:p>
      <w:pPr>
        <w:pStyle w:val="Heading1"/>
      </w:pPr>
      <w:r>
        <w:t>Note: Other administrations (index, read 2026-10-19)</w:t>
      </w:r>
    </w:p>
    <w:p>
      <w:pPr>
        <w:pStyle w:val="ListBullet"/>
      </w:pPr>
      <w:r>
        <w:t>UK Ofcom: https://www.ofcom.org.uk/siteassets/resources/documents/spectrum/licensing-and-certification/information-and-guidance-on-ngso-licensing-decisions-31-mar-2026.pdf - NGSO gateway £500/yr, network £200/yr; AIP for gateways from early 2027 (statement 31 Mar 2026); gateway must be operational within 12 months of grant; orbital licensing under Space Industry Act 2018 (CAA) separate from spectrum.</w:t>
      </w:r>
    </w:p>
    <w:p>
      <w:pPr>
        <w:pStyle w:val="ListBullet"/>
      </w:pPr>
      <w:r>
        <w:t>France: https://www.fosrlaw.com/en/news-articles/2026/08/thailand-simplifies-satellite-landing-rights-regime (no - France from prior knowledge: FSOA Loi n°2008-518 (3 June 2008); 2023 revision = single authorization for constellation; Tech Reg updated June 2024; deorbit &lt;=25 yrs; insurance &gt;=EUR 60M)</w:t>
      </w:r>
    </w:p>
    <w:p>
      <w:pPr>
        <w:pStyle w:val="ListBullet"/>
      </w:pPr>
      <w:r>
        <w:t>EU Space Act proposal (June 2025; Council doc https://data.consilium.europa.eu/doc/document/ST-7806-2026-INIT/en/pdf): 90% end-of-life disposal success; mandatory collision avoidance; 100+ sat constellations special measures; manoeuvrability above 400 km; penalties up to 2% global turnover; ~EUR 100k authorization fee per platform.</w:t>
      </w:r>
    </w:p>
    <w:p>
      <w:pPr>
        <w:pStyle w:val="ListBullet"/>
      </w:pPr>
      <w:r>
        <w:t>Japan (prior knowledge, not re-verified): Radio Act licensing (MIC); Space Activities Act 2016; Space Strategy Fund; J-LEO initiative.</w:t>
      </w:r>
    </w:p>
    <w:p>
      <w:pPr>
        <w:pStyle w:val="ListBullet"/>
      </w:pPr>
      <w:r>
        <w:t>South Korea: MSIT licensing; KASA established May 2024; MSIT granted OneWeb LEO regulatory license June 2025 (first cross-border supply agreement) - source: prior search results (news).</w:t>
      </w:r>
    </w:p>
    <w:p>
      <w:pPr>
        <w:pStyle w:val="ListBullet"/>
      </w:pPr>
      <w:r>
        <w:t>Australia (prior knowledge): ACMA space licences; Space Objects Determinations ASOD/FSOD 2025; Space (Launches and Returns) Act 2018; spectrum licences max 20 yrs.</w:t>
      </w:r>
    </w:p>
    <w:p>
      <w:pPr>
        <w:pStyle w:val="ListBullet"/>
      </w:pPr>
      <w:r>
        <w:t>Singapore IMDA: https://www.imda.gov.sg/-/media/imda/files/regulation-licensing-and-consultations/licensing-licenses/satellite-orbital-slot/5cbf608a-9b3b-47c3-a8cd-fdd2a0d81c2d.pdf (v2, 23 Sept 2025): Singapore-incorporated licensee; coverage incl. all Singapore; TT&amp;C+NOC in Singapore; &gt;=50% effective satellite ownership; station licence $100/yr.</w:t>
      </w:r>
    </w:p>
    <w:p>
      <w:pPr>
        <w:pStyle w:val="ListBullet"/>
      </w:pPr>
      <w:r>
        <w:t>Thailand NBTC: https://www.fosrlaw.com/en/news-articles/2026/08/thailand-simplifies-satellite-landing-rights-regime (one-time THB 2,000,000 per Right per filing/NGSO system; annual 3.2% of Thai satellite revenues; one whole NGSO system per licensee)</w:t>
      </w:r>
    </w:p>
    <w:p>
      <w:pPr>
        <w:pStyle w:val="Heading1"/>
      </w:pPr>
      <w:r>
        <w:t>Note: Space sustainability (index, read 2026-10-19)</w:t>
      </w:r>
    </w:p>
    <w:p>
      <w:pPr>
        <w:pStyle w:val="ListBullet"/>
      </w:pPr>
      <w:r>
        <w:t>IADC Space Debris Mitigation Guidelines (2002; Rev 1 2007; Rev 2 2020; Rev 3 2021): LEO objects: deorbit (direct reentry preferred) or manoeuvre to orbit with residual lifetime &lt;=25 years; disposal success probability &gt;=90%; for large constellations shorter lifetime/higher probability may be needed (guideline 5.3.2). Passivation (5.2), break-up avoidance (5.1), collision avoidance: estimate/limit accidental collision probability; avoidance manoeuvres if reliable data available (5.4). GEO graveyard: perigee raise &gt;= 235 km x (1000 x CR x A/m), e &lt;= 0.003. Source: https://sup1qywlxpbg9wylvrlmvhrlopvprl3qi.vcatalyst.top/library/iadc-space-debris-guidelines-revision-2.pdf and https://www.talksatellite.com/EMEA2331.html</w:t>
      </w:r>
    </w:p>
    <w:p>
      <w:pPr>
        <w:pStyle w:val="ListBullet"/>
      </w:pPr>
      <w:r>
        <w:t>Trend: FCC 5-year rule (Sept 2022) tightens LEO disposal; EU Space Act proposal (2025): 90% disposal success target, mandatory collision-avoidance services; COPUOS Long-term Sustainability Guidelines (2019, 21 guidelines) - background.</w:t>
      </w:r>
    </w:p>
    <w:p>
      <w:pPr>
        <w:pStyle w:val="Heading1"/>
      </w:pPr>
      <w:r>
        <w:t>Note: Vietnam (index, read 2026-10-19)</w:t>
      </w:r>
    </w:p>
    <w:p>
      <w:pPr>
        <w:pStyle w:val="ListBullet"/>
      </w:pPr>
      <w:r>
        <w:t>Law on Radio Frequencies (Law No. 42/2009/QH12, amended 2018): licence types include "frequency and satellite orbit use licences" (giay phep su dung tan so va quy dao ve tinh); Authority of Radio Frequency Management (Cuc Tan so vo tuyen dien, ARFM) under Ministry of Science and Technology (formerly MIC). Source: https://webiis08.mondaq.com/social-media/1288674/tmt-comparative-guide</w:t>
      </w:r>
    </w:p>
    <w:p>
      <w:pPr>
        <w:pStyle w:val="ListBullet"/>
      </w:pPr>
      <w:r>
        <w:t>Decision 137/2006/QD-TTg (June 14, 2006): established Vietnam Committee for Aerospace Technology Research and Application (Vietnam Space Committee), assisting PM; committee set up 2010, enhanced Jan 2013 with Defense Ministry reps. Source: https://english.luatvietnam.vn/decision-no-137-2006-qd-ttg-dated-june-14-2006-of-the-prime-minister-approving-the-strategy-on-research-into-and-application-of-aerospace-technolo-18791-doc1.html</w:t>
      </w:r>
    </w:p>
    <w:p>
      <w:pPr>
        <w:pStyle w:val="ListBullet"/>
      </w:pPr>
      <w:r>
        <w:t>Space science-tech strategy to 2030: signed by PM Nguyen Xuan Phuc (Decision 169/QD-TTg, Feb 4, 2021): targets 300 experts + 3,000 engineers by 2030, ~10 specialized labs, master small-sat assembly/integration. Source: https://www.roc-taiwan.org/vn_en/post/3984.html</w:t>
      </w:r>
    </w:p>
    <w:p>
      <w:pPr>
        <w:pStyle w:val="ListBullet"/>
      </w:pPr>
      <w:r>
        <w:t>Decision 659/QD-TTg (Mar 26, 2025): 5-year pilot of LEO satellite telecom services without foreign ownership limits, concluding before Jan 1, 2031; Starlink licensed: 4 gateway stations + up to 600,000 user terminals. Sources: https://www.thefreelibrary.com/Via%3e%3e%2b%2bt+Nam+opens+door+to+Starlink+to+boost+nationwide+digital...-a0875052860 and https://technode.global/2026/10/12/vietnams-saigontel-becomes-authorized-starlink-distributor-with-satellite-telecom-licence-to-2030/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