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4"/>
        </w:tabs>
        <w:spacing w:line="237" w:lineRule="auto"/>
        <w:ind w:right="15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734"/>
        </w:tabs>
        <w:spacing w:after="120" w:before="480" w:line="237" w:lineRule="auto"/>
        <w:ind w:left="0" w:right="153"/>
        <w:jc w:val="center"/>
        <w:rPr>
          <w:sz w:val="24"/>
          <w:szCs w:val="24"/>
        </w:rPr>
      </w:pPr>
      <w:bookmarkStart w:colFirst="0" w:colLast="0" w:name="_heading=h.rit0549n4z3c" w:id="0"/>
      <w:bookmarkEnd w:id="0"/>
      <w:r w:rsidDel="00000000" w:rsidR="00000000" w:rsidRPr="00000000">
        <w:rPr>
          <w:sz w:val="32"/>
          <w:szCs w:val="32"/>
          <w:rtl w:val="0"/>
        </w:rPr>
        <w:t xml:space="preserve">Migrants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6"/>
          <w:szCs w:val="26"/>
        </w:rPr>
      </w:pPr>
      <w:bookmarkStart w:colFirst="0" w:colLast="0" w:name="_heading=h.6mow9pyspx34" w:id="1"/>
      <w:bookmarkEnd w:id="1"/>
      <w:r w:rsidDel="00000000" w:rsidR="00000000" w:rsidRPr="00000000">
        <w:rPr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tabs>
          <w:tab w:val="left" w:leader="none" w:pos="734"/>
        </w:tabs>
        <w:spacing w:after="240" w:before="240" w:line="23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policy is to define a clear and accountable process for employees who plan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migrate from India to another country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whether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 visa, permanent residency (PR), work visa, or any other immigration status</w:t>
      </w:r>
      <w:r w:rsidDel="00000000" w:rsidR="00000000" w:rsidRPr="00000000">
        <w:rPr>
          <w:sz w:val="24"/>
          <w:szCs w:val="24"/>
          <w:rtl w:val="0"/>
        </w:rPr>
        <w:t xml:space="preserve">. The goal is to ensure adequate communication, smooth knowledge transfer, timely workforce planning, and to safeguard the company’s operational continuity.</w:t>
      </w:r>
    </w:p>
    <w:p w:rsidR="00000000" w:rsidDel="00000000" w:rsidP="00000000" w:rsidRDefault="00000000" w:rsidRPr="00000000" w14:paraId="00000005">
      <w:pPr>
        <w:tabs>
          <w:tab w:val="left" w:leader="none" w:pos="734"/>
        </w:tabs>
        <w:spacing w:line="237" w:lineRule="auto"/>
        <w:ind w:right="153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6"/>
          <w:szCs w:val="26"/>
        </w:rPr>
      </w:pPr>
      <w:bookmarkStart w:colFirst="0" w:colLast="0" w:name="_heading=h.t0js39sq824r" w:id="2"/>
      <w:bookmarkEnd w:id="2"/>
      <w:r w:rsidDel="00000000" w:rsidR="00000000" w:rsidRPr="00000000">
        <w:rPr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7">
      <w:pPr>
        <w:tabs>
          <w:tab w:val="left" w:leader="none" w:pos="734"/>
        </w:tabs>
        <w:spacing w:after="240" w:before="240" w:line="23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policy applies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employees</w:t>
      </w:r>
      <w:r w:rsidDel="00000000" w:rsidR="00000000" w:rsidRPr="00000000">
        <w:rPr>
          <w:sz w:val="24"/>
          <w:szCs w:val="24"/>
          <w:rtl w:val="0"/>
        </w:rPr>
        <w:t xml:space="preserve"> of the organization who intend to migrate to another country, regardless of their current designation, department, or tenure.</w:t>
      </w:r>
    </w:p>
    <w:p w:rsidR="00000000" w:rsidDel="00000000" w:rsidP="00000000" w:rsidRDefault="00000000" w:rsidRPr="00000000" w14:paraId="00000008">
      <w:pPr>
        <w:tabs>
          <w:tab w:val="left" w:leader="none" w:pos="734"/>
        </w:tabs>
        <w:spacing w:line="237" w:lineRule="auto"/>
        <w:ind w:right="153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6"/>
          <w:szCs w:val="26"/>
        </w:rPr>
      </w:pPr>
      <w:bookmarkStart w:colFirst="0" w:colLast="0" w:name="_heading=h.3y6twzujhag2" w:id="3"/>
      <w:bookmarkEnd w:id="3"/>
      <w:r w:rsidDel="00000000" w:rsidR="00000000" w:rsidRPr="00000000">
        <w:rPr>
          <w:sz w:val="26"/>
          <w:szCs w:val="26"/>
          <w:rtl w:val="0"/>
        </w:rPr>
        <w:t xml:space="preserve">3. Obligation to Inform the Company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left" w:leader="none" w:pos="734"/>
        </w:tabs>
        <w:spacing w:after="0" w:afterAutospacing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employee who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intends to migrate</w:t>
      </w:r>
      <w:r w:rsidDel="00000000" w:rsidR="00000000" w:rsidRPr="00000000">
        <w:rPr>
          <w:sz w:val="24"/>
          <w:szCs w:val="24"/>
          <w:rtl w:val="0"/>
        </w:rPr>
        <w:t xml:space="preserve"> (e.g., via student visa, PR process, work sponsorship, etc.)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required to inform the organization</w:t>
      </w:r>
      <w:r w:rsidDel="00000000" w:rsidR="00000000" w:rsidRPr="00000000">
        <w:rPr>
          <w:sz w:val="24"/>
          <w:szCs w:val="24"/>
          <w:rtl w:val="0"/>
        </w:rPr>
        <w:t xml:space="preserve"> 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of applying for the visa or immigration process</w:t>
      </w:r>
      <w:r w:rsidDel="00000000" w:rsidR="00000000" w:rsidRPr="00000000">
        <w:rPr>
          <w:sz w:val="24"/>
          <w:szCs w:val="24"/>
          <w:rtl w:val="0"/>
        </w:rPr>
        <w:t xml:space="preserve">, and not just at the time of approval.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must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notify the following authorities via official email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 (TL)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Project Manager (TPM)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Head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Manager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Department (Email: </w:t>
      </w:r>
      <w:r w:rsidDel="00000000" w:rsidR="00000000" w:rsidRPr="00000000">
        <w:rPr>
          <w:b w:val="1"/>
          <w:sz w:val="24"/>
          <w:szCs w:val="24"/>
          <w:rtl w:val="0"/>
        </w:rPr>
        <w:t xml:space="preserve">hroperations@antiersolutions.com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email should include: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Nature of the migration</w:t>
      </w:r>
      <w:r w:rsidDel="00000000" w:rsidR="00000000" w:rsidRPr="00000000">
        <w:rPr>
          <w:sz w:val="24"/>
          <w:szCs w:val="24"/>
          <w:rtl w:val="0"/>
        </w:rPr>
        <w:t xml:space="preserve"> (e.g., student visa, PR, etc.)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 of migration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Tentative visa interview or approval date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of visa application or acknowledgment documents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early notification allows the company to: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for hiring a replacement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knowledge transfer (KT)</w:t>
      </w:r>
      <w:r w:rsidDel="00000000" w:rsidR="00000000" w:rsidRPr="00000000">
        <w:rPr>
          <w:sz w:val="24"/>
          <w:szCs w:val="24"/>
          <w:rtl w:val="0"/>
        </w:rPr>
        <w:t xml:space="preserve"> process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tabs>
          <w:tab w:val="left" w:leader="none" w:pos="734"/>
        </w:tabs>
        <w:spacing w:after="24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continuity in project delivery</w:t>
        <w:br w:type="textWrapping"/>
      </w:r>
    </w:p>
    <w:p w:rsidR="00000000" w:rsidDel="00000000" w:rsidP="00000000" w:rsidRDefault="00000000" w:rsidRPr="00000000" w14:paraId="0000001A">
      <w:pPr>
        <w:tabs>
          <w:tab w:val="left" w:leader="none" w:pos="734"/>
        </w:tabs>
        <w:spacing w:line="237" w:lineRule="auto"/>
        <w:ind w:right="153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6"/>
          <w:szCs w:val="26"/>
        </w:rPr>
      </w:pPr>
      <w:bookmarkStart w:colFirst="0" w:colLast="0" w:name="_heading=h.j0424i6olpc6" w:id="4"/>
      <w:bookmarkEnd w:id="4"/>
      <w:r w:rsidDel="00000000" w:rsidR="00000000" w:rsidRPr="00000000">
        <w:rPr>
          <w:sz w:val="26"/>
          <w:szCs w:val="26"/>
          <w:rtl w:val="0"/>
        </w:rPr>
        <w:t xml:space="preserve">4. Notice Period and Exit Compliance</w:t>
      </w:r>
    </w:p>
    <w:p w:rsidR="00000000" w:rsidDel="00000000" w:rsidP="00000000" w:rsidRDefault="00000000" w:rsidRPr="00000000" w14:paraId="0000001C">
      <w:pPr>
        <w:tabs>
          <w:tab w:val="left" w:leader="none" w:pos="734"/>
        </w:tabs>
        <w:spacing w:after="240" w:before="240" w:line="23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planning to migrate are required to: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34"/>
        </w:tabs>
        <w:spacing w:after="0" w:afterAutospacing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 their full official notice period</w:t>
      </w:r>
      <w:r w:rsidDel="00000000" w:rsidR="00000000" w:rsidRPr="00000000">
        <w:rPr>
          <w:sz w:val="24"/>
          <w:szCs w:val="24"/>
          <w:rtl w:val="0"/>
        </w:rPr>
        <w:t xml:space="preserve">, as per the terms of their employment contract.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34"/>
        </w:tabs>
        <w:spacing w:after="24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handover and KT</w:t>
      </w:r>
      <w:r w:rsidDel="00000000" w:rsidR="00000000" w:rsidRPr="00000000">
        <w:rPr>
          <w:sz w:val="24"/>
          <w:szCs w:val="24"/>
          <w:rtl w:val="0"/>
        </w:rPr>
        <w:t xml:space="preserve"> processes during the notice period.</w:t>
        <w:br w:type="textWrapping"/>
      </w:r>
    </w:p>
    <w:p w:rsidR="00000000" w:rsidDel="00000000" w:rsidP="00000000" w:rsidRDefault="00000000" w:rsidRPr="00000000" w14:paraId="0000001F">
      <w:pPr>
        <w:tabs>
          <w:tab w:val="left" w:leader="none" w:pos="734"/>
        </w:tabs>
        <w:spacing w:line="237" w:lineRule="auto"/>
        <w:ind w:right="153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6"/>
          <w:szCs w:val="26"/>
        </w:rPr>
      </w:pPr>
      <w:bookmarkStart w:colFirst="0" w:colLast="0" w:name="_heading=h.eoxlchl7vud8" w:id="5"/>
      <w:bookmarkEnd w:id="5"/>
      <w:r w:rsidDel="00000000" w:rsidR="00000000" w:rsidRPr="00000000">
        <w:rPr>
          <w:sz w:val="26"/>
          <w:szCs w:val="26"/>
          <w:rtl w:val="0"/>
        </w:rPr>
        <w:t xml:space="preserve">5. Non-Compliance &amp; Defaults</w:t>
      </w:r>
    </w:p>
    <w:p w:rsidR="00000000" w:rsidDel="00000000" w:rsidP="00000000" w:rsidRDefault="00000000" w:rsidRPr="00000000" w14:paraId="00000021">
      <w:pPr>
        <w:tabs>
          <w:tab w:val="left" w:leader="none" w:pos="734"/>
        </w:tabs>
        <w:spacing w:after="240" w:before="240" w:line="23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Failure to adhere to the above guidelines will result in strict disciplinary action and financial liability: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2"/>
          <w:szCs w:val="22"/>
        </w:rPr>
      </w:pPr>
      <w:bookmarkStart w:colFirst="0" w:colLast="0" w:name="_heading=h.ruml6wb5w9ij" w:id="6"/>
      <w:bookmarkEnd w:id="6"/>
      <w:r w:rsidDel="00000000" w:rsidR="00000000" w:rsidRPr="00000000">
        <w:rPr>
          <w:sz w:val="22"/>
          <w:szCs w:val="22"/>
          <w:rtl w:val="0"/>
        </w:rPr>
        <w:t xml:space="preserve">A. Non-Disclosure or Late Disclosure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734"/>
        </w:tabs>
        <w:spacing w:after="24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employee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fails to inform the company in time</w:t>
      </w:r>
      <w:r w:rsidDel="00000000" w:rsidR="00000000" w:rsidRPr="00000000">
        <w:rPr>
          <w:sz w:val="24"/>
          <w:szCs w:val="24"/>
          <w:rtl w:val="0"/>
        </w:rPr>
        <w:t xml:space="preserve"> and discloses their migration plans late (e.g., after visa approval), they will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be eligible for early release</w:t>
      </w:r>
      <w:r w:rsidDel="00000000" w:rsidR="00000000" w:rsidRPr="00000000">
        <w:rPr>
          <w:sz w:val="24"/>
          <w:szCs w:val="24"/>
          <w:rtl w:val="0"/>
        </w:rPr>
        <w:t xml:space="preserve"> and must serve their full notice period.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2"/>
          <w:szCs w:val="22"/>
        </w:rPr>
      </w:pPr>
      <w:bookmarkStart w:colFirst="0" w:colLast="0" w:name="_heading=h.k3ohoslq48a4" w:id="7"/>
      <w:bookmarkEnd w:id="7"/>
      <w:r w:rsidDel="00000000" w:rsidR="00000000" w:rsidRPr="00000000">
        <w:rPr>
          <w:sz w:val="22"/>
          <w:szCs w:val="22"/>
          <w:rtl w:val="0"/>
        </w:rPr>
        <w:t xml:space="preserve">B. Failure to Serve Notice Period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734"/>
        </w:tabs>
        <w:spacing w:after="0" w:afterAutospacing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employee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chooses to exit immediately</w:t>
      </w:r>
      <w:r w:rsidDel="00000000" w:rsidR="00000000" w:rsidRPr="00000000">
        <w:rPr>
          <w:sz w:val="24"/>
          <w:szCs w:val="24"/>
          <w:rtl w:val="0"/>
        </w:rPr>
        <w:t xml:space="preserve"> and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unable to serve the full notice period</w:t>
      </w:r>
      <w:r w:rsidDel="00000000" w:rsidR="00000000" w:rsidRPr="00000000">
        <w:rPr>
          <w:sz w:val="24"/>
          <w:szCs w:val="24"/>
          <w:rtl w:val="0"/>
        </w:rPr>
        <w:t xml:space="preserve">, they will be required to: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734"/>
        </w:tabs>
        <w:spacing w:after="24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 the equivalent of 3 months’ gross salary</w:t>
      </w:r>
      <w:r w:rsidDel="00000000" w:rsidR="00000000" w:rsidRPr="00000000">
        <w:rPr>
          <w:sz w:val="24"/>
          <w:szCs w:val="24"/>
          <w:rtl w:val="0"/>
        </w:rPr>
        <w:t xml:space="preserve"> to the company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compensatory loss recovery</w:t>
      </w:r>
      <w:r w:rsidDel="00000000" w:rsidR="00000000" w:rsidRPr="00000000">
        <w:rPr>
          <w:sz w:val="24"/>
          <w:szCs w:val="24"/>
          <w:rtl w:val="0"/>
        </w:rPr>
        <w:t xml:space="preserve">, reflecting the costs associated with immediate release, unplanned hiring, and business disruptions.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2"/>
          <w:szCs w:val="22"/>
        </w:rPr>
      </w:pPr>
      <w:bookmarkStart w:colFirst="0" w:colLast="0" w:name="_heading=h.whb5ji66lyi6" w:id="8"/>
      <w:bookmarkEnd w:id="8"/>
      <w:r w:rsidDel="00000000" w:rsidR="00000000" w:rsidRPr="00000000">
        <w:rPr>
          <w:sz w:val="22"/>
          <w:szCs w:val="22"/>
          <w:rtl w:val="0"/>
        </w:rPr>
        <w:t xml:space="preserve">C. Refusal to Pay or Comply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734"/>
        </w:tabs>
        <w:spacing w:after="0" w:afterAutospacing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employee fails to: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 the notice period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 the compensatory amount,</w:t>
        <w:br w:type="textWrapping"/>
        <w:t xml:space="preserve"> then: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tabs>
          <w:tab w:val="left" w:leader="none" w:pos="734"/>
        </w:tabs>
        <w:spacing w:after="0" w:afterAutospacing="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shall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withhold all pending dues and official documents</w:t>
      </w:r>
      <w:r w:rsidDel="00000000" w:rsidR="00000000" w:rsidRPr="00000000">
        <w:rPr>
          <w:sz w:val="24"/>
          <w:szCs w:val="24"/>
          <w:rtl w:val="0"/>
        </w:rPr>
        <w:t xml:space="preserve"> (e.g., experience letter, relieving letter, Form 16, etc.).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tabs>
          <w:tab w:val="left" w:leader="none" w:pos="734"/>
        </w:tabs>
        <w:spacing w:after="240" w:before="0" w:beforeAutospacing="0" w:line="23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organization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reserves the right to initiate legal proceedings</w:t>
      </w:r>
      <w:r w:rsidDel="00000000" w:rsidR="00000000" w:rsidRPr="00000000">
        <w:rPr>
          <w:sz w:val="24"/>
          <w:szCs w:val="24"/>
          <w:rtl w:val="0"/>
        </w:rPr>
        <w:t xml:space="preserve"> based on the severity of the case, including recovering losses caused to the business or client deliverables.</w:t>
        <w:br w:type="textWrapping"/>
      </w:r>
    </w:p>
    <w:p w:rsidR="00000000" w:rsidDel="00000000" w:rsidP="00000000" w:rsidRDefault="00000000" w:rsidRPr="00000000" w14:paraId="0000002D">
      <w:pPr>
        <w:tabs>
          <w:tab w:val="left" w:leader="none" w:pos="734"/>
        </w:tabs>
        <w:spacing w:line="237" w:lineRule="auto"/>
        <w:ind w:right="153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6"/>
          <w:szCs w:val="26"/>
        </w:rPr>
      </w:pPr>
      <w:bookmarkStart w:colFirst="0" w:colLast="0" w:name="_heading=h.tp3eruulqtjg" w:id="9"/>
      <w:bookmarkEnd w:id="9"/>
      <w:r w:rsidDel="00000000" w:rsidR="00000000" w:rsidRPr="00000000">
        <w:rPr>
          <w:sz w:val="26"/>
          <w:szCs w:val="26"/>
          <w:rtl w:val="0"/>
        </w:rPr>
        <w:t xml:space="preserve">6. Legal Implications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leader="none" w:pos="734"/>
        </w:tabs>
        <w:spacing w:after="0" w:afterAutospacing="0" w:before="24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Non-compliance with this policy may lead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civil recovery proceedings</w:t>
      </w:r>
      <w:r w:rsidDel="00000000" w:rsidR="00000000" w:rsidRPr="00000000">
        <w:rPr>
          <w:sz w:val="24"/>
          <w:szCs w:val="24"/>
          <w:rtl w:val="0"/>
        </w:rPr>
        <w:t xml:space="preserve"> under applicable laws.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leader="none" w:pos="734"/>
        </w:tabs>
        <w:spacing w:after="240" w:before="0" w:beforeAutospacing="0" w:line="23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reserves the right to report the matter to appropriate authorities or agencies in extreme cases.</w:t>
        <w:br w:type="textWrapping"/>
      </w:r>
    </w:p>
    <w:p w:rsidR="00000000" w:rsidDel="00000000" w:rsidP="00000000" w:rsidRDefault="00000000" w:rsidRPr="00000000" w14:paraId="00000031">
      <w:pPr>
        <w:tabs>
          <w:tab w:val="left" w:leader="none" w:pos="734"/>
        </w:tabs>
        <w:spacing w:line="237" w:lineRule="auto"/>
        <w:ind w:right="153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tabs>
          <w:tab w:val="left" w:leader="none" w:pos="734"/>
        </w:tabs>
        <w:spacing w:line="237" w:lineRule="auto"/>
        <w:ind w:right="153"/>
        <w:rPr>
          <w:sz w:val="26"/>
          <w:szCs w:val="26"/>
        </w:rPr>
      </w:pPr>
      <w:bookmarkStart w:colFirst="0" w:colLast="0" w:name="_heading=h.v3va8n7facfh" w:id="10"/>
      <w:bookmarkEnd w:id="10"/>
      <w:r w:rsidDel="00000000" w:rsidR="00000000" w:rsidRPr="00000000">
        <w:rPr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33">
      <w:pPr>
        <w:tabs>
          <w:tab w:val="left" w:leader="none" w:pos="734"/>
        </w:tabs>
        <w:spacing w:after="240" w:before="240" w:line="23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Migrants Policy ensures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transparency, accountability, and mutual respect</w:t>
      </w:r>
      <w:r w:rsidDel="00000000" w:rsidR="00000000" w:rsidRPr="00000000">
        <w:rPr>
          <w:sz w:val="24"/>
          <w:szCs w:val="24"/>
          <w:rtl w:val="0"/>
        </w:rPr>
        <w:t xml:space="preserve"> between the employee and the organization. Migration is a personal milestone, and the company is committed to supporting career aspirations when communicated appropriately. However, unplanned exits or non-disclosure can cause serious business risks, which this policy aims to mitigate.</w:t>
      </w:r>
    </w:p>
    <w:p w:rsidR="00000000" w:rsidDel="00000000" w:rsidP="00000000" w:rsidRDefault="00000000" w:rsidRPr="00000000" w14:paraId="00000034">
      <w:pPr>
        <w:tabs>
          <w:tab w:val="left" w:leader="none" w:pos="734"/>
        </w:tabs>
        <w:spacing w:after="240" w:before="240" w:line="23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are expected to follow this policy diligently and maintain professional integrity during the transition.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4"/>
        </w:tabs>
        <w:spacing w:after="0" w:before="0" w:line="237" w:lineRule="auto"/>
        <w:ind w:left="0" w:right="15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50" w:w="11920" w:orient="portrait"/>
      <w:pgMar w:bottom="1140" w:top="2000" w:left="425" w:right="425" w:header="970" w:footer="9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9931400</wp:posOffset>
              </wp:positionV>
              <wp:extent cx="3289935" cy="5473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05795" y="3511078"/>
                        <a:ext cx="3280410" cy="53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75.9999942779541"/>
                            <w:ind w:left="1478.9999389648438" w:right="0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Regd. Office:E-221, Phase VIII-B, Indl. Area, Mohali, Punjab- 160059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79"/>
                              <w:sz w:val="20"/>
                              <w:u w:val="single"/>
                              <w:vertAlign w:val="baseline"/>
                            </w:rPr>
                            <w:t xml:space="preserve">www.antiersolutions.com;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6.99999809265137" w:line="240"/>
                            <w:ind w:left="1368.9999389648438" w:right="0" w:firstLine="1368.9999389648438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Email: info@antiersolutions.com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9931400</wp:posOffset>
              </wp:positionV>
              <wp:extent cx="3289935" cy="54737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9935" cy="547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247650</wp:posOffset>
          </wp:positionH>
          <wp:positionV relativeFrom="page">
            <wp:posOffset>615949</wp:posOffset>
          </wp:positionV>
          <wp:extent cx="1551431" cy="49784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431" cy="4978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4"/>
    </w:pPr>
    <w:rPr>
      <w:rFonts w:ascii="Arial" w:cs="Arial" w:eastAsia="Arial" w:hAnsi="Arial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4"/>
      <w:outlineLvl w:val="1"/>
    </w:pPr>
    <w:rPr>
      <w:rFonts w:ascii="Arial" w:cs="Arial" w:eastAsia="Arial" w:hAnsi="Arial"/>
      <w:b w:val="1"/>
      <w:bCs w:val="1"/>
      <w:sz w:val="24"/>
      <w:szCs w:val="24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34" w:right="111" w:hanging="360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/fuU2pUzvm6Gzex+IkR+hBgmNg==">CgMxLjAyDmgucml0MDU0OW40ejNjMg5oLjZtb3c5cHlzcHgzNDIOaC50MGpzMzlzcTgyNHIyDmguM3k2dHd6dWpoYWcyMg5oLmowNDI0aTZvbHBjNjIOaC5lb3hsY2hsN3Z1ZDgyDmgucnVtbDZ3YjV3OWlqMg5oLmszb2hvc2xxNDhhNDIOaC53aGI1amk2Nmx5aTYyDmgudHAzZXJ1dWxxdGpnMg5oLnYzdmE4bjdmYWNmaDgAciExVkNHcGlCZjNxdVcycTFzUzJ2UWlDajVmQnprajZhc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2025-06-18T12:00:28Z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Office Word 2007</vt:lpwstr>
  </property>
</Properties>
</file>