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caps/>
          <w:color w:val="888888"/>
          <w:sz w:val="18"/>
          <w:szCs w:val="18"/>
        </w:rPr>
        <w:t xml:space="preserve">CONFIDENTIAL  ·  STRATEGIC BRIEF  ·  JUNE 2026</w:t>
      </w:r>
    </w:p>
    <w:p>
      <w:pPr>
        <w:spacing w:after="80"/>
      </w:pPr>
      <w:r>
        <w:rPr>
          <w:rFonts w:ascii="Arial" w:cs="Arial" w:eastAsia="Arial" w:hAnsi="Arial"/>
          <w:b/>
          <w:bCs/>
          <w:color w:val="B8922A"/>
          <w:sz w:val="64"/>
          <w:szCs w:val="64"/>
        </w:rPr>
        <w:t xml:space="preserve">Coin</w:t>
      </w:r>
      <w:r>
        <w:rPr>
          <w:rFonts w:ascii="Arial" w:cs="Arial" w:eastAsia="Arial" w:hAnsi="Arial"/>
          <w:b/>
          <w:bCs/>
          <w:color w:val="1A1A1A"/>
          <w:sz w:val="64"/>
          <w:szCs w:val="64"/>
        </w:rPr>
        <w:t xml:space="preserve">Falcon</w:t>
      </w:r>
    </w:p>
    <w:p>
      <w:pPr>
        <w:spacing w:after="200"/>
      </w:pPr>
      <w:r>
        <w:rPr>
          <w:rFonts w:ascii="Arial" w:cs="Arial" w:eastAsia="Arial" w:hAnsi="Arial"/>
          <w:i/>
          <w:iCs/>
          <w:color w:val="444444"/>
          <w:sz w:val="28"/>
          <w:szCs w:val="28"/>
        </w:rPr>
        <w:t xml:space="preserve">AI-powered coin grading infrastructure for professional numismatic dealers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40"/>
            </w:pPr>
            <w:r>
              <w:rPr>
                <w:rFonts w:ascii="Arial" w:cs="Arial" w:eastAsia="Arial" w:hAnsi="Arial"/>
                <w:b/>
                <w:bCs/>
                <w:color w:val="888888"/>
                <w:sz w:val="18"/>
                <w:szCs w:val="18"/>
              </w:rPr>
              <w:t xml:space="preserve">Prepared for</w:t>
            </w:r>
          </w:p>
          <w:p>
            <w:pPr>
              <w:spacing w:after="0"/>
            </w:pPr>
            <w:r>
              <w:rPr>
                <w:rFonts w:ascii="Arial" w:cs="Arial" w:eastAsia="Arial" w:hAnsi="Arial"/>
                <w:color w:val="1A1A1A"/>
                <w:sz w:val="20"/>
                <w:szCs w:val="20"/>
              </w:rPr>
              <w:t xml:space="preserve">Yev — IT Strategic Advisor</w:t>
            </w:r>
          </w:p>
        </w:tc>
        <w:tc>
          <w:tcPr>
            <w:tcW w:type="dxa" w:w="3120"/>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40"/>
            </w:pPr>
            <w:r>
              <w:rPr>
                <w:rFonts w:ascii="Arial" w:cs="Arial" w:eastAsia="Arial" w:hAnsi="Arial"/>
                <w:b/>
                <w:bCs/>
                <w:color w:val="888888"/>
                <w:sz w:val="18"/>
                <w:szCs w:val="18"/>
              </w:rPr>
              <w:t xml:space="preserve">Current stage</w:t>
            </w:r>
          </w:p>
          <w:p>
            <w:pPr>
              <w:spacing w:after="0"/>
            </w:pPr>
            <w:r>
              <w:rPr>
                <w:rFonts w:ascii="Arial" w:cs="Arial" w:eastAsia="Arial" w:hAnsi="Arial"/>
                <w:color w:val="1A1A1A"/>
                <w:sz w:val="20"/>
                <w:szCs w:val="20"/>
              </w:rPr>
              <w:t xml:space="preserve">Working prototype v0.7.9</w:t>
            </w:r>
          </w:p>
        </w:tc>
        <w:tc>
          <w:tcPr>
            <w:tcW w:type="dxa" w:w="3120"/>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40"/>
            </w:pPr>
            <w:r>
              <w:rPr>
                <w:rFonts w:ascii="Arial" w:cs="Arial" w:eastAsia="Arial" w:hAnsi="Arial"/>
                <w:b/>
                <w:bCs/>
                <w:color w:val="888888"/>
                <w:sz w:val="18"/>
                <w:szCs w:val="18"/>
              </w:rPr>
              <w:t xml:space="preserve">Market</w:t>
            </w:r>
          </w:p>
          <w:p>
            <w:pPr>
              <w:spacing w:after="0"/>
            </w:pPr>
            <w:r>
              <w:rPr>
                <w:rFonts w:ascii="Arial" w:cs="Arial" w:eastAsia="Arial" w:hAnsi="Arial"/>
                <w:color w:val="1A1A1A"/>
                <w:sz w:val="20"/>
                <w:szCs w:val="20"/>
              </w:rPr>
              <w:t xml:space="preserve">North America B2B numismatics</w:t>
            </w:r>
          </w:p>
        </w:tc>
      </w:tr>
    </w:tbl>
    <w:p>
      <w:pPr>
        <w:spacing w:after="80"/>
      </w:pPr>
    </w:p>
    <w:p>
      <w:pPr>
        <w:pBdr>
          <w:bottom w:val="single" w:color="B8922A" w:sz="8"/>
        </w:pBdr>
        <w:spacing w:after="0" w:before="0"/>
      </w:pPr>
    </w:p>
    <w:p>
      <w:pPr>
        <w:spacing w:after="80"/>
      </w:pPr>
    </w:p>
    <w:p>
      <w:pPr>
        <w:spacing w:after="80" w:before="320"/>
      </w:pPr>
      <w:r>
        <w:rPr>
          <w:rFonts w:ascii="Arial" w:cs="Arial" w:eastAsia="Arial" w:hAnsi="Arial"/>
          <w:b/>
          <w:bCs/>
          <w:color w:val="B8922A"/>
          <w:sz w:val="26"/>
          <w:szCs w:val="26"/>
        </w:rPr>
        <w:t xml:space="preserve">01  </w:t>
      </w:r>
      <w:r>
        <w:rPr>
          <w:rFonts w:ascii="Arial" w:cs="Arial" w:eastAsia="Arial" w:hAnsi="Arial"/>
          <w:b/>
          <w:bCs/>
          <w:color w:val="1A1A1A"/>
          <w:sz w:val="26"/>
          <w:szCs w:val="26"/>
        </w:rPr>
        <w:t xml:space="preserve">The opportunity</w:t>
      </w:r>
      <w:r>
        <w:rPr>
          <w:rFonts w:ascii="Arial" w:cs="Arial" w:eastAsia="Arial" w:hAnsi="Arial"/>
          <w:color w:val="888888"/>
          <w:sz w:val="18"/>
          <w:szCs w:val="18"/>
        </w:rPr>
        <w:t xml:space="preserve">   Why this market, why now</w:t>
      </w:r>
    </w:p>
    <w:p>
      <w:pPr>
        <w:pBdr>
          <w:bottom w:val="single" w:color="B8922A" w:sz="3"/>
        </w:pBdr>
        <w:spacing w:after="160"/>
      </w:pPr>
    </w:p>
    <w:p>
      <w:pPr>
        <w:spacing w:after="120" w:before="0"/>
      </w:pPr>
      <w:r>
        <w:rPr>
          <w:rFonts w:ascii="Arial" w:cs="Arial" w:eastAsia="Arial" w:hAnsi="Arial"/>
          <w:b w:val="false"/>
          <w:bCs w:val="false"/>
          <w:i w:val="false"/>
          <w:iCs w:val="false"/>
          <w:color w:val="444444"/>
          <w:sz w:val="22"/>
          <w:szCs w:val="22"/>
        </w:rPr>
        <w:t xml:space="preserve">The U.S. coin dealer market processes an estimated $5–8B in retail transactions annually. Every single buying decision — at a coin show, a shop counter, or an estate purchase — is made manually by a human expert grading coins under magnification. That expert costs $40–100/hr, is scarce, and introduces inconsistency. No software product has meaningfully digitized this workflow.</w:t>
      </w:r>
    </w:p>
    <w:p>
      <w:pPr>
        <w:spacing w:after="80"/>
      </w:pPr>
    </w:p>
    <w:p>
      <w:pPr>
        <w:spacing w:after="120" w:before="0"/>
      </w:pPr>
      <w:r>
        <w:rPr>
          <w:rFonts w:ascii="Arial" w:cs="Arial" w:eastAsia="Arial" w:hAnsi="Arial"/>
          <w:b w:val="false"/>
          <w:bCs w:val="false"/>
          <w:i w:val="false"/>
          <w:iCs w:val="false"/>
          <w:color w:val="444444"/>
          <w:sz w:val="22"/>
          <w:szCs w:val="22"/>
        </w:rPr>
        <w:t xml:space="preserve">CoinFalcon is the first AI grading workstation purpose-built for the dealer — not the collector, not the auction house, not the grading service. Our working prototype already grades coins from photos in under 10 seconds, extracts melt value from live spot prices, integrates four professional pricing sources, and outputs a structured buying recommendation.</w:t>
      </w:r>
    </w:p>
    <w:p>
      <w:pPr>
        <w:spacing w:after="80"/>
      </w:pPr>
    </w:p>
    <w:p>
      <w:pPr>
        <w:spacing w:after="120" w:before="0"/>
      </w:pPr>
      <w:r>
        <w:rPr>
          <w:rFonts w:ascii="Arial" w:cs="Arial" w:eastAsia="Arial" w:hAnsi="Arial"/>
          <w:b/>
          <w:bCs/>
          <w:i w:val="false"/>
          <w:iCs w:val="false"/>
          <w:color w:val="1A1A1A"/>
          <w:sz w:val="22"/>
          <w:szCs w:val="22"/>
        </w:rPr>
        <w:t xml:space="preserve">The dealer workstation category is genuinely unoccupied. We have the technology and the domain expertise. We need the architecture to scale it.</w:t>
      </w:r>
    </w:p>
    <w:p>
      <w:pPr>
        <w:spacing w:after="160"/>
      </w:pPr>
    </w:p>
    <w:p>
      <w:pPr>
        <w:spacing w:after="80" w:before="320"/>
      </w:pPr>
      <w:r>
        <w:rPr>
          <w:rFonts w:ascii="Arial" w:cs="Arial" w:eastAsia="Arial" w:hAnsi="Arial"/>
          <w:b/>
          <w:bCs/>
          <w:color w:val="B8922A"/>
          <w:sz w:val="26"/>
          <w:szCs w:val="26"/>
        </w:rPr>
        <w:t xml:space="preserve">02  </w:t>
      </w:r>
      <w:r>
        <w:rPr>
          <w:rFonts w:ascii="Arial" w:cs="Arial" w:eastAsia="Arial" w:hAnsi="Arial"/>
          <w:b/>
          <w:bCs/>
          <w:color w:val="1A1A1A"/>
          <w:sz w:val="26"/>
          <w:szCs w:val="26"/>
        </w:rPr>
        <w:t xml:space="preserve">Where we are today</w:t>
      </w:r>
      <w:r>
        <w:rPr>
          <w:rFonts w:ascii="Arial" w:cs="Arial" w:eastAsia="Arial" w:hAnsi="Arial"/>
          <w:color w:val="888888"/>
          <w:sz w:val="18"/>
          <w:szCs w:val="18"/>
        </w:rPr>
        <w:t xml:space="preserve">   Current state</w:t>
      </w:r>
    </w:p>
    <w:p>
      <w:pPr>
        <w:pBdr>
          <w:bottom w:val="single" w:color="B8922A" w:sz="3"/>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DF5E2" w:val="clear"/>
            <w:tcMar>
              <w:top w:type="dxa" w:w="120"/>
              <w:left w:type="dxa" w:w="160"/>
              <w:bottom w:type="dxa" w:w="120"/>
              <w:right w:type="dxa" w:w="160"/>
            </w:tcMar>
          </w:tcPr>
          <w:p>
            <w:pPr>
              <w:spacing w:after="40"/>
            </w:pPr>
            <w:r>
              <w:rPr>
                <w:rFonts w:ascii="Arial" w:cs="Arial" w:eastAsia="Arial" w:hAnsi="Arial"/>
                <w:color w:val="888888"/>
                <w:sz w:val="18"/>
                <w:szCs w:val="18"/>
              </w:rPr>
              <w:t xml:space="preserve">Prototype version</w:t>
            </w:r>
          </w:p>
          <w:p>
            <w:pPr>
              <w:spacing w:after="40"/>
            </w:pPr>
            <w:r>
              <w:rPr>
                <w:rFonts w:ascii="Arial" w:cs="Arial" w:eastAsia="Arial" w:hAnsi="Arial"/>
                <w:b/>
                <w:bCs/>
                <w:color w:val="B8922A"/>
                <w:sz w:val="28"/>
                <w:szCs w:val="28"/>
              </w:rPr>
              <w:t xml:space="preserve">v0.7.9</w:t>
            </w:r>
          </w:p>
          <w:p>
            <w:pPr>
              <w:spacing w:after="0"/>
            </w:pPr>
            <w:r>
              <w:rPr>
                <w:rFonts w:ascii="Arial" w:cs="Arial" w:eastAsia="Arial" w:hAnsi="Arial"/>
                <w:color w:val="888888"/>
                <w:sz w:val="18"/>
                <w:szCs w:val="18"/>
              </w:rPr>
              <w:t xml:space="preserve">Single HTML file, fully functional</w:t>
            </w:r>
          </w:p>
        </w:tc>
        <w:tc>
          <w:tcPr>
            <w:tcW w:type="dxa" w:w="2340"/>
            <w:tcBorders>
              <w:top w:val="single" w:color="DDDDDD" w:sz="1"/>
              <w:left w:val="single" w:color="DDDDDD" w:sz="1"/>
              <w:bottom w:val="single" w:color="DDDDDD" w:sz="1"/>
              <w:right w:val="single" w:color="DDDDDD" w:sz="1"/>
            </w:tcBorders>
            <w:shd w:fill="FDF5E2" w:val="clear"/>
            <w:tcMar>
              <w:top w:type="dxa" w:w="120"/>
              <w:left w:type="dxa" w:w="160"/>
              <w:bottom w:type="dxa" w:w="120"/>
              <w:right w:type="dxa" w:w="160"/>
            </w:tcMar>
          </w:tcPr>
          <w:p>
            <w:pPr>
              <w:spacing w:after="40"/>
            </w:pPr>
            <w:r>
              <w:rPr>
                <w:rFonts w:ascii="Arial" w:cs="Arial" w:eastAsia="Arial" w:hAnsi="Arial"/>
                <w:color w:val="888888"/>
                <w:sz w:val="18"/>
                <w:szCs w:val="18"/>
              </w:rPr>
              <w:t xml:space="preserve">AI grading core</w:t>
            </w:r>
          </w:p>
          <w:p>
            <w:pPr>
              <w:spacing w:after="40"/>
            </w:pPr>
            <w:r>
              <w:rPr>
                <w:rFonts w:ascii="Arial" w:cs="Arial" w:eastAsia="Arial" w:hAnsi="Arial"/>
                <w:b/>
                <w:bCs/>
                <w:color w:val="B8922A"/>
                <w:sz w:val="28"/>
                <w:szCs w:val="28"/>
              </w:rPr>
              <w:t xml:space="preserve">Live</w:t>
            </w:r>
          </w:p>
          <w:p>
            <w:pPr>
              <w:spacing w:after="0"/>
            </w:pPr>
            <w:r>
              <w:rPr>
                <w:rFonts w:ascii="Arial" w:cs="Arial" w:eastAsia="Arial" w:hAnsi="Arial"/>
                <w:color w:val="888888"/>
                <w:sz w:val="18"/>
                <w:szCs w:val="18"/>
              </w:rPr>
              <w:t xml:space="preserve">Claude Sonnet 4 vision, Sheldon scale</w:t>
            </w:r>
          </w:p>
        </w:tc>
        <w:tc>
          <w:tcPr>
            <w:tcW w:type="dxa" w:w="2340"/>
            <w:tcBorders>
              <w:top w:val="single" w:color="DDDDDD" w:sz="1"/>
              <w:left w:val="single" w:color="DDDDDD" w:sz="1"/>
              <w:bottom w:val="single" w:color="DDDDDD" w:sz="1"/>
              <w:right w:val="single" w:color="DDDDDD" w:sz="1"/>
            </w:tcBorders>
            <w:shd w:fill="FDF5E2" w:val="clear"/>
            <w:tcMar>
              <w:top w:type="dxa" w:w="120"/>
              <w:left w:type="dxa" w:w="160"/>
              <w:bottom w:type="dxa" w:w="120"/>
              <w:right w:type="dxa" w:w="160"/>
            </w:tcMar>
          </w:tcPr>
          <w:p>
            <w:pPr>
              <w:spacing w:after="40"/>
            </w:pPr>
            <w:r>
              <w:rPr>
                <w:rFonts w:ascii="Arial" w:cs="Arial" w:eastAsia="Arial" w:hAnsi="Arial"/>
                <w:color w:val="888888"/>
                <w:sz w:val="18"/>
                <w:szCs w:val="18"/>
              </w:rPr>
              <w:t xml:space="preserve">Pricing integrations</w:t>
            </w:r>
          </w:p>
          <w:p>
            <w:pPr>
              <w:spacing w:after="40"/>
            </w:pPr>
            <w:r>
              <w:rPr>
                <w:rFonts w:ascii="Arial" w:cs="Arial" w:eastAsia="Arial" w:hAnsi="Arial"/>
                <w:b/>
                <w:bCs/>
                <w:color w:val="B8922A"/>
                <w:sz w:val="28"/>
                <w:szCs w:val="28"/>
              </w:rPr>
              <w:t xml:space="preserve">4 tiers</w:t>
            </w:r>
          </w:p>
          <w:p>
            <w:pPr>
              <w:spacing w:after="0"/>
            </w:pPr>
            <w:r>
              <w:rPr>
                <w:rFonts w:ascii="Arial" w:cs="Arial" w:eastAsia="Arial" w:hAnsi="Arial"/>
                <w:color w:val="888888"/>
                <w:sz w:val="18"/>
                <w:szCs w:val="18"/>
              </w:rPr>
              <w:t xml:space="preserve">Greysheet, PCGS, eBay, live metals</w:t>
            </w:r>
          </w:p>
        </w:tc>
        <w:tc>
          <w:tcPr>
            <w:tcW w:type="dxa" w:w="2340"/>
            <w:tcBorders>
              <w:top w:val="single" w:color="DDDDDD" w:sz="1"/>
              <w:left w:val="single" w:color="DDDDDD" w:sz="1"/>
              <w:bottom w:val="single" w:color="DDDDDD" w:sz="1"/>
              <w:right w:val="single" w:color="DDDDDD" w:sz="1"/>
            </w:tcBorders>
            <w:shd w:fill="FDF5E2" w:val="clear"/>
            <w:tcMar>
              <w:top w:type="dxa" w:w="120"/>
              <w:left w:type="dxa" w:w="160"/>
              <w:bottom w:type="dxa" w:w="120"/>
              <w:right w:type="dxa" w:w="160"/>
            </w:tcMar>
          </w:tcPr>
          <w:p>
            <w:pPr>
              <w:spacing w:after="40"/>
            </w:pPr>
            <w:r>
              <w:rPr>
                <w:rFonts w:ascii="Arial" w:cs="Arial" w:eastAsia="Arial" w:hAnsi="Arial"/>
                <w:color w:val="888888"/>
                <w:sz w:val="18"/>
                <w:szCs w:val="18"/>
              </w:rPr>
              <w:t xml:space="preserve">Dealer network</w:t>
            </w:r>
          </w:p>
          <w:p>
            <w:pPr>
              <w:spacing w:after="40"/>
            </w:pPr>
            <w:r>
              <w:rPr>
                <w:rFonts w:ascii="Arial" w:cs="Arial" w:eastAsia="Arial" w:hAnsi="Arial"/>
                <w:b/>
                <w:bCs/>
                <w:color w:val="B8922A"/>
                <w:sz w:val="28"/>
                <w:szCs w:val="28"/>
              </w:rPr>
              <w:t xml:space="preserve">Warm</w:t>
            </w:r>
          </w:p>
          <w:p>
            <w:pPr>
              <w:spacing w:after="0"/>
            </w:pPr>
            <w:r>
              <w:rPr>
                <w:rFonts w:ascii="Arial" w:cs="Arial" w:eastAsia="Arial" w:hAnsi="Arial"/>
                <w:color w:val="888888"/>
                <w:sz w:val="18"/>
                <w:szCs w:val="18"/>
              </w:rPr>
              <w:t xml:space="preserve">Direct relationships for pilots</w:t>
            </w:r>
          </w:p>
        </w:tc>
      </w:tr>
    </w:tbl>
    <w:p>
      <w:pPr>
        <w:spacing w:after="120"/>
      </w:pPr>
    </w:p>
    <w:p>
      <w:pPr>
        <w:spacing w:after="120" w:before="0"/>
      </w:pPr>
      <w:r>
        <w:rPr>
          <w:rFonts w:ascii="Arial" w:cs="Arial" w:eastAsia="Arial" w:hAnsi="Arial"/>
          <w:b w:val="false"/>
          <w:bCs w:val="false"/>
          <w:i w:val="false"/>
          <w:iCs w:val="false"/>
          <w:color w:val="444444"/>
          <w:sz w:val="22"/>
          <w:szCs w:val="22"/>
        </w:rPr>
        <w:t xml:space="preserve">The prototype runs in a browser, processes images via the Anthropic vision API, fetches live metal prices, integrates four pricing data sources, and exports structured grading reports. It has been tested against real dealer scenarios including estate lot buying, bulk inventory, and single high-value coin assessment.</w:t>
      </w:r>
    </w:p>
    <w:p>
      <w:pPr>
        <w:spacing w:after="80"/>
      </w:pPr>
    </w:p>
    <w:p>
      <w:pPr>
        <w:spacing w:after="120" w:before="0"/>
      </w:pPr>
      <w:r>
        <w:rPr>
          <w:rFonts w:ascii="Arial" w:cs="Arial" w:eastAsia="Arial" w:hAnsi="Arial"/>
          <w:b w:val="false"/>
          <w:bCs w:val="false"/>
          <w:i w:val="false"/>
          <w:iCs w:val="false"/>
          <w:color w:val="444444"/>
          <w:sz w:val="22"/>
          <w:szCs w:val="22"/>
        </w:rPr>
        <w:t xml:space="preserve">Key technical infrastructure already built and battle-tested: CORS proxy layer, eBay price staleness detection, denomination character-by-character verification protocol, digit-by-digit date reading, conservative Sheldon-scale grading with problem flagging, and live melt value calculation.</w:t>
      </w:r>
    </w:p>
    <w:p>
      <w:pPr>
        <w:spacing w:after="160"/>
      </w:pPr>
    </w:p>
    <w:p>
      <w:r>
        <w:br w:type="page"/>
      </w:r>
    </w:p>
    <w:p>
      <w:pPr>
        <w:spacing w:after="80" w:before="320"/>
      </w:pPr>
      <w:r>
        <w:rPr>
          <w:rFonts w:ascii="Arial" w:cs="Arial" w:eastAsia="Arial" w:hAnsi="Arial"/>
          <w:b/>
          <w:bCs/>
          <w:color w:val="B8922A"/>
          <w:sz w:val="26"/>
          <w:szCs w:val="26"/>
        </w:rPr>
        <w:t xml:space="preserve">03  </w:t>
      </w:r>
      <w:r>
        <w:rPr>
          <w:rFonts w:ascii="Arial" w:cs="Arial" w:eastAsia="Arial" w:hAnsi="Arial"/>
          <w:b/>
          <w:bCs/>
          <w:color w:val="1A1A1A"/>
          <w:sz w:val="26"/>
          <w:szCs w:val="26"/>
        </w:rPr>
        <w:t xml:space="preserve">The competitive landscape</w:t>
      </w:r>
      <w:r>
        <w:rPr>
          <w:rFonts w:ascii="Arial" w:cs="Arial" w:eastAsia="Arial" w:hAnsi="Arial"/>
          <w:color w:val="888888"/>
          <w:sz w:val="18"/>
          <w:szCs w:val="18"/>
        </w:rPr>
        <w:t xml:space="preserve">   Why no one else has this</w:t>
      </w:r>
    </w:p>
    <w:p>
      <w:pPr>
        <w:pBdr>
          <w:bottom w:val="single" w:color="B8922A" w:sz="3"/>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80"/>
        <w:gridCol w:w="1370"/>
        <w:gridCol w:w="1370"/>
        <w:gridCol w:w="1370"/>
        <w:gridCol w:w="1370"/>
      </w:tblGrid>
      <w:tr>
        <w:tc>
          <w:tcPr>
            <w:tcW w:type="dxa" w:w="1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Player</w:t>
            </w:r>
          </w:p>
        </w:tc>
        <w:tc>
          <w:tcPr>
            <w:tcW w:type="dxa" w:w="20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What they do</w:t>
            </w:r>
          </w:p>
        </w:tc>
        <w:tc>
          <w:tcPr>
            <w:tcW w:type="dxa" w:w="137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AI grading</w:t>
            </w:r>
          </w:p>
        </w:tc>
        <w:tc>
          <w:tcPr>
            <w:tcW w:type="dxa" w:w="137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Dealer workflow</w:t>
            </w:r>
          </w:p>
        </w:tc>
        <w:tc>
          <w:tcPr>
            <w:tcW w:type="dxa" w:w="137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API pricing</w:t>
            </w:r>
          </w:p>
        </w:tc>
        <w:tc>
          <w:tcPr>
            <w:tcW w:type="dxa" w:w="137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Buying rec</w:t>
            </w:r>
          </w:p>
        </w:tc>
      </w:tr>
      <w:tr>
        <w:tc>
          <w:tcPr>
            <w:tcBorders>
              <w:top w:val="single" w:color="DDDDDD" w:sz="1"/>
              <w:left w:val="single" w:color="DDDDDD" w:sz="1"/>
              <w:bottom w:val="single" w:color="DDDDDD" w:sz="1"/>
              <w:right w:val="single" w:color="DDDDDD" w:sz="1"/>
            </w:tcBorders>
            <w:shd w:fill="FDF5E2" w:val="clear"/>
            <w:tcMar>
              <w:top w:type="dxa" w:w="80"/>
              <w:left w:type="dxa" w:w="120"/>
              <w:bottom w:type="dxa" w:w="80"/>
              <w:right w:type="dxa" w:w="120"/>
            </w:tcMar>
          </w:tcPr>
          <w:p>
            <w:r>
              <w:rPr>
                <w:rFonts w:ascii="Arial" w:cs="Arial" w:eastAsia="Arial" w:hAnsi="Arial"/>
                <w:color w:val="B8922A"/>
                <w:sz w:val="20"/>
                <w:szCs w:val="20"/>
              </w:rPr>
              <w:t xml:space="preserve">CoinFalcon</w:t>
            </w:r>
          </w:p>
        </w:tc>
        <w:tc>
          <w:tcPr>
            <w:tcBorders>
              <w:top w:val="single" w:color="DDDDDD" w:sz="1"/>
              <w:left w:val="single" w:color="DDDDDD" w:sz="1"/>
              <w:bottom w:val="single" w:color="DDDDDD" w:sz="1"/>
              <w:right w:val="single" w:color="DDDDDD" w:sz="1"/>
            </w:tcBorders>
            <w:shd w:fill="FDF5E2" w:val="clear"/>
            <w:tcMar>
              <w:top w:type="dxa" w:w="80"/>
              <w:left w:type="dxa" w:w="120"/>
              <w:bottom w:type="dxa" w:w="80"/>
              <w:right w:type="dxa" w:w="120"/>
            </w:tcMar>
          </w:tcPr>
          <w:p>
            <w:r>
              <w:rPr>
                <w:rFonts w:ascii="Arial" w:cs="Arial" w:eastAsia="Arial" w:hAnsi="Arial"/>
                <w:color w:val="444444"/>
                <w:sz w:val="20"/>
                <w:szCs w:val="20"/>
              </w:rPr>
              <w:t xml:space="preserve">AI workstation for dealers</w:t>
            </w:r>
          </w:p>
        </w:tc>
        <w:tc>
          <w:tcPr>
            <w:tcBorders>
              <w:top w:val="single" w:color="DDDDDD" w:sz="1"/>
              <w:left w:val="single" w:color="DDDDDD" w:sz="1"/>
              <w:bottom w:val="single" w:color="DDDDDD" w:sz="1"/>
              <w:right w:val="single" w:color="DDDDDD" w:sz="1"/>
            </w:tcBorders>
            <w:shd w:fill="FDF5E2" w:val="clear"/>
            <w:tcMar>
              <w:top w:type="dxa" w:w="80"/>
              <w:left w:type="dxa" w:w="120"/>
              <w:bottom w:type="dxa" w:w="80"/>
              <w:right w:type="dxa" w:w="120"/>
            </w:tcMar>
          </w:tcPr>
          <w:p>
            <w:r>
              <w:rPr>
                <w:rFonts w:ascii="Arial" w:cs="Arial" w:eastAsia="Arial" w:hAnsi="Arial"/>
                <w:color w:val="2E7D52"/>
                <w:sz w:val="20"/>
                <w:szCs w:val="20"/>
              </w:rPr>
              <w:t xml:space="preserve">✓ Yes</w:t>
            </w:r>
          </w:p>
        </w:tc>
        <w:tc>
          <w:tcPr>
            <w:tcBorders>
              <w:top w:val="single" w:color="DDDDDD" w:sz="1"/>
              <w:left w:val="single" w:color="DDDDDD" w:sz="1"/>
              <w:bottom w:val="single" w:color="DDDDDD" w:sz="1"/>
              <w:right w:val="single" w:color="DDDDDD" w:sz="1"/>
            </w:tcBorders>
            <w:shd w:fill="FDF5E2" w:val="clear"/>
            <w:tcMar>
              <w:top w:type="dxa" w:w="80"/>
              <w:left w:type="dxa" w:w="120"/>
              <w:bottom w:type="dxa" w:w="80"/>
              <w:right w:type="dxa" w:w="120"/>
            </w:tcMar>
          </w:tcPr>
          <w:p>
            <w:r>
              <w:rPr>
                <w:rFonts w:ascii="Arial" w:cs="Arial" w:eastAsia="Arial" w:hAnsi="Arial"/>
                <w:color w:val="2E7D52"/>
                <w:sz w:val="20"/>
                <w:szCs w:val="20"/>
              </w:rPr>
              <w:t xml:space="preserve">✓ Yes</w:t>
            </w:r>
          </w:p>
        </w:tc>
        <w:tc>
          <w:tcPr>
            <w:tcBorders>
              <w:top w:val="single" w:color="DDDDDD" w:sz="1"/>
              <w:left w:val="single" w:color="DDDDDD" w:sz="1"/>
              <w:bottom w:val="single" w:color="DDDDDD" w:sz="1"/>
              <w:right w:val="single" w:color="DDDDDD" w:sz="1"/>
            </w:tcBorders>
            <w:shd w:fill="FDF5E2" w:val="clear"/>
            <w:tcMar>
              <w:top w:type="dxa" w:w="80"/>
              <w:left w:type="dxa" w:w="120"/>
              <w:bottom w:type="dxa" w:w="80"/>
              <w:right w:type="dxa" w:w="120"/>
            </w:tcMar>
          </w:tcPr>
          <w:p>
            <w:r>
              <w:rPr>
                <w:rFonts w:ascii="Arial" w:cs="Arial" w:eastAsia="Arial" w:hAnsi="Arial"/>
                <w:color w:val="2E7D52"/>
                <w:sz w:val="20"/>
                <w:szCs w:val="20"/>
              </w:rPr>
              <w:t xml:space="preserve">✓ Yes</w:t>
            </w:r>
          </w:p>
        </w:tc>
        <w:tc>
          <w:tcPr>
            <w:tcBorders>
              <w:top w:val="single" w:color="DDDDDD" w:sz="1"/>
              <w:left w:val="single" w:color="DDDDDD" w:sz="1"/>
              <w:bottom w:val="single" w:color="DDDDDD" w:sz="1"/>
              <w:right w:val="single" w:color="DDDDDD" w:sz="1"/>
            </w:tcBorders>
            <w:shd w:fill="FDF5E2" w:val="clear"/>
            <w:tcMar>
              <w:top w:type="dxa" w:w="80"/>
              <w:left w:type="dxa" w:w="120"/>
              <w:bottom w:type="dxa" w:w="80"/>
              <w:right w:type="dxa" w:w="120"/>
            </w:tcMar>
          </w:tcPr>
          <w:p>
            <w:r>
              <w:rPr>
                <w:rFonts w:ascii="Arial" w:cs="Arial" w:eastAsia="Arial" w:hAnsi="Arial"/>
                <w:color w:val="2E7D52"/>
                <w:sz w:val="20"/>
                <w:szCs w:val="20"/>
              </w:rPr>
              <w:t xml:space="preserve">✓ Yes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PCGS / NGC</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Physical slab grading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 No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 No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A0620A"/>
                <w:sz w:val="20"/>
                <w:szCs w:val="20"/>
              </w:rPr>
              <w:t xml:space="preserve">~ Partial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 No</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CoinSnap / Coinoscope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Consumer coin ID apps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A0620A"/>
                <w:sz w:val="20"/>
                <w:szCs w:val="20"/>
              </w:rPr>
              <w:t xml:space="preserve">~ Partial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 No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 No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 No</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Greysheet / CDN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Wholesale price publication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 No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A0620A"/>
                <w:sz w:val="20"/>
                <w:szCs w:val="20"/>
              </w:rPr>
              <w:t xml:space="preserve">~ Partial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E7D52"/>
                <w:sz w:val="20"/>
                <w:szCs w:val="20"/>
              </w:rPr>
              <w:t xml:space="preserve">✓ Yes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 No</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eBay + manual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DIY dealer workflow today</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 No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 No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A0620A"/>
                <w:sz w:val="20"/>
                <w:szCs w:val="20"/>
              </w:rPr>
              <w:t xml:space="preserve">~ Partial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 No</w:t>
            </w:r>
          </w:p>
        </w:tc>
      </w:tr>
    </w:tbl>
    <w:p>
      <w:pPr>
        <w:spacing w:after="120"/>
      </w:pPr>
    </w:p>
    <w:p>
      <w:pPr>
        <w:spacing w:after="120" w:before="0"/>
      </w:pPr>
      <w:r>
        <w:rPr>
          <w:rFonts w:ascii="Arial" w:cs="Arial" w:eastAsia="Arial" w:hAnsi="Arial"/>
          <w:b w:val="false"/>
          <w:bCs w:val="false"/>
          <w:i w:val="false"/>
          <w:iCs w:val="false"/>
          <w:color w:val="444444"/>
          <w:sz w:val="22"/>
          <w:szCs w:val="22"/>
        </w:rPr>
        <w:t xml:space="preserve">No existing product combines AI-vision grading with real-time pricing data and a dealer-first buying workflow. Consumer apps identify coins but cannot grade or value them for professional use. PCGS/NGC are certification gatekeepers, not buying tools.</w:t>
      </w:r>
    </w:p>
    <w:p>
      <w:pPr>
        <w:spacing w:after="160"/>
      </w:pPr>
    </w:p>
    <w:p>
      <w:pPr>
        <w:spacing w:after="80" w:before="320"/>
      </w:pPr>
      <w:r>
        <w:rPr>
          <w:rFonts w:ascii="Arial" w:cs="Arial" w:eastAsia="Arial" w:hAnsi="Arial"/>
          <w:b/>
          <w:bCs/>
          <w:color w:val="B8922A"/>
          <w:sz w:val="26"/>
          <w:szCs w:val="26"/>
        </w:rPr>
        <w:t xml:space="preserve">04  </w:t>
      </w:r>
      <w:r>
        <w:rPr>
          <w:rFonts w:ascii="Arial" w:cs="Arial" w:eastAsia="Arial" w:hAnsi="Arial"/>
          <w:b/>
          <w:bCs/>
          <w:color w:val="1A1A1A"/>
          <w:sz w:val="26"/>
          <w:szCs w:val="26"/>
        </w:rPr>
        <w:t xml:space="preserve">Business model and unit economics</w:t>
      </w:r>
      <w:r>
        <w:rPr>
          <w:rFonts w:ascii="Arial" w:cs="Arial" w:eastAsia="Arial" w:hAnsi="Arial"/>
          <w:color w:val="888888"/>
          <w:sz w:val="18"/>
          <w:szCs w:val="18"/>
        </w:rPr>
        <w:t xml:space="preserve">   The numbers</w:t>
      </w:r>
    </w:p>
    <w:p>
      <w:pPr>
        <w:pBdr>
          <w:bottom w:val="single" w:color="B8922A" w:sz="3"/>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DF5E2" w:val="clear"/>
            <w:tcMar>
              <w:top w:type="dxa" w:w="120"/>
              <w:left w:type="dxa" w:w="160"/>
              <w:bottom w:type="dxa" w:w="120"/>
              <w:right w:type="dxa" w:w="160"/>
            </w:tcMar>
          </w:tcPr>
          <w:p>
            <w:pPr>
              <w:spacing w:after="40"/>
            </w:pPr>
            <w:r>
              <w:rPr>
                <w:rFonts w:ascii="Arial" w:cs="Arial" w:eastAsia="Arial" w:hAnsi="Arial"/>
                <w:color w:val="888888"/>
                <w:sz w:val="18"/>
                <w:szCs w:val="18"/>
              </w:rPr>
              <w:t xml:space="preserve">SaaS price</w:t>
            </w:r>
          </w:p>
          <w:p>
            <w:pPr>
              <w:spacing w:after="40"/>
            </w:pPr>
            <w:r>
              <w:rPr>
                <w:rFonts w:ascii="Arial" w:cs="Arial" w:eastAsia="Arial" w:hAnsi="Arial"/>
                <w:b/>
                <w:bCs/>
                <w:color w:val="1A1A1A"/>
                <w:sz w:val="26"/>
                <w:szCs w:val="26"/>
              </w:rPr>
              <w:t xml:space="preserve">$149 / mo</w:t>
            </w:r>
          </w:p>
          <w:p>
            <w:pPr>
              <w:spacing w:after="0"/>
            </w:pPr>
            <w:r>
              <w:rPr>
                <w:rFonts w:ascii="Arial" w:cs="Arial" w:eastAsia="Arial" w:hAnsi="Arial"/>
                <w:color w:val="888888"/>
                <w:sz w:val="17"/>
                <w:szCs w:val="17"/>
              </w:rPr>
              <w:t xml:space="preserve">Up to 500 coins. $0.20/coin overage.</w:t>
            </w:r>
          </w:p>
        </w:tc>
        <w:tc>
          <w:tcPr>
            <w:tcW w:type="dxa" w:w="234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Arial" w:cs="Arial" w:eastAsia="Arial" w:hAnsi="Arial"/>
                <w:color w:val="888888"/>
                <w:sz w:val="18"/>
                <w:szCs w:val="18"/>
              </w:rPr>
              <w:t xml:space="preserve">AI cost per coin</w:t>
            </w:r>
          </w:p>
          <w:p>
            <w:pPr>
              <w:spacing w:after="40"/>
            </w:pPr>
            <w:r>
              <w:rPr>
                <w:rFonts w:ascii="Arial" w:cs="Arial" w:eastAsia="Arial" w:hAnsi="Arial"/>
                <w:b/>
                <w:bCs/>
                <w:color w:val="1A1A1A"/>
                <w:sz w:val="26"/>
                <w:szCs w:val="26"/>
              </w:rPr>
              <w:t xml:space="preserve">~$0.05</w:t>
            </w:r>
          </w:p>
          <w:p>
            <w:pPr>
              <w:spacing w:after="0"/>
            </w:pPr>
            <w:r>
              <w:rPr>
                <w:rFonts w:ascii="Arial" w:cs="Arial" w:eastAsia="Arial" w:hAnsi="Arial"/>
                <w:color w:val="888888"/>
                <w:sz w:val="17"/>
                <w:szCs w:val="17"/>
              </w:rPr>
              <w:t xml:space="preserve">Claude Sonnet vision call, 2 images.</w:t>
            </w:r>
          </w:p>
        </w:tc>
        <w:tc>
          <w:tcPr>
            <w:tcW w:type="dxa" w:w="234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Arial" w:cs="Arial" w:eastAsia="Arial" w:hAnsi="Arial"/>
                <w:color w:val="888888"/>
                <w:sz w:val="18"/>
                <w:szCs w:val="18"/>
              </w:rPr>
              <w:t xml:space="preserve">Gross margin at scale</w:t>
            </w:r>
          </w:p>
          <w:p>
            <w:pPr>
              <w:spacing w:after="40"/>
            </w:pPr>
            <w:r>
              <w:rPr>
                <w:rFonts w:ascii="Arial" w:cs="Arial" w:eastAsia="Arial" w:hAnsi="Arial"/>
                <w:b/>
                <w:bCs/>
                <w:color w:val="1A1A1A"/>
                <w:sz w:val="26"/>
                <w:szCs w:val="26"/>
              </w:rPr>
              <w:t xml:space="preserve">~85%</w:t>
            </w:r>
          </w:p>
          <w:p>
            <w:pPr>
              <w:spacing w:after="0"/>
            </w:pPr>
            <w:r>
              <w:rPr>
                <w:rFonts w:ascii="Arial" w:cs="Arial" w:eastAsia="Arial" w:hAnsi="Arial"/>
                <w:color w:val="888888"/>
                <w:sz w:val="17"/>
                <w:szCs w:val="17"/>
              </w:rPr>
              <w:t xml:space="preserve">API cost is the primary COGS line.</w:t>
            </w:r>
          </w:p>
        </w:tc>
        <w:tc>
          <w:tcPr>
            <w:tcW w:type="dxa" w:w="234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Arial" w:cs="Arial" w:eastAsia="Arial" w:hAnsi="Arial"/>
                <w:color w:val="888888"/>
                <w:sz w:val="18"/>
                <w:szCs w:val="18"/>
              </w:rPr>
              <w:t xml:space="preserve">U.S. dealer TAM</w:t>
            </w:r>
          </w:p>
          <w:p>
            <w:pPr>
              <w:spacing w:after="40"/>
            </w:pPr>
            <w:r>
              <w:rPr>
                <w:rFonts w:ascii="Arial" w:cs="Arial" w:eastAsia="Arial" w:hAnsi="Arial"/>
                <w:b/>
                <w:bCs/>
                <w:color w:val="1A1A1A"/>
                <w:sz w:val="26"/>
                <w:szCs w:val="26"/>
              </w:rPr>
              <w:t xml:space="preserve">~8,000</w:t>
            </w:r>
          </w:p>
          <w:p>
            <w:pPr>
              <w:spacing w:after="0"/>
            </w:pPr>
            <w:r>
              <w:rPr>
                <w:rFonts w:ascii="Arial" w:cs="Arial" w:eastAsia="Arial" w:hAnsi="Arial"/>
                <w:color w:val="888888"/>
                <w:sz w:val="17"/>
                <w:szCs w:val="17"/>
              </w:rPr>
              <w:t xml:space="preserve">1% penetration = ~$14M ARR.</w:t>
            </w:r>
          </w:p>
        </w:tc>
      </w:tr>
    </w:tbl>
    <w:p>
      <w:pPr>
        <w:spacing w:after="120"/>
      </w:pPr>
    </w:p>
    <w:p>
      <w:pPr>
        <w:spacing w:after="120" w:before="0"/>
      </w:pPr>
      <w:r>
        <w:rPr>
          <w:rFonts w:ascii="Arial" w:cs="Arial" w:eastAsia="Arial" w:hAnsi="Arial"/>
          <w:b w:val="false"/>
          <w:bCs w:val="false"/>
          <w:i w:val="false"/>
          <w:iCs w:val="false"/>
          <w:color w:val="444444"/>
          <w:sz w:val="22"/>
          <w:szCs w:val="22"/>
        </w:rPr>
        <w:t xml:space="preserve">At $149/mo, a dealer grading 100 coins per day — a typical show-buying pace — pays roughly $0.10 per grading decision. That is less than the cost of a second opinion phone call. One prevented bad buy at $200+ covers a month of CoinFalcon.</w:t>
      </w:r>
    </w:p>
    <w:p>
      <w:pPr>
        <w:spacing w:after="80"/>
      </w:pPr>
    </w:p>
    <w:p>
      <w:pPr>
        <w:spacing w:after="120" w:before="0"/>
      </w:pPr>
      <w:r>
        <w:rPr>
          <w:rFonts w:ascii="Arial" w:cs="Arial" w:eastAsia="Arial" w:hAnsi="Arial"/>
          <w:b/>
          <w:bCs/>
          <w:i w:val="false"/>
          <w:iCs w:val="false"/>
          <w:color w:val="1A1A1A"/>
          <w:sz w:val="22"/>
          <w:szCs w:val="22"/>
        </w:rPr>
        <w:t xml:space="preserve">Phase 2 expansion paths:</w:t>
      </w:r>
    </w:p>
    <w:p>
      <w:pPr>
        <w:pStyle w:val="ListParagraph"/>
        <w:numPr>
          <w:ilvl w:val="0"/>
          <w:numId w:val="2"/>
        </w:numPr>
        <w:spacing w:after="80"/>
      </w:pPr>
      <w:r>
        <w:t xml:space="preserve"/>
      </w:r>
      <w:r>
        <w:rPr>
          <w:rFonts w:ascii="Arial" w:cs="Arial" w:eastAsia="Arial" w:hAnsi="Arial"/>
          <w:color w:val="444444"/>
          <w:sz w:val="22"/>
          <w:szCs w:val="22"/>
        </w:rPr>
        <w:t xml:space="preserve">Enterprise tier for dealer chains ($500+/mo, multi-user, audit trail)</w:t>
      </w:r>
    </w:p>
    <w:p>
      <w:pPr>
        <w:pStyle w:val="ListParagraph"/>
        <w:numPr>
          <w:ilvl w:val="0"/>
          <w:numId w:val="2"/>
        </w:numPr>
        <w:spacing w:after="80"/>
      </w:pPr>
      <w:r>
        <w:t xml:space="preserve"/>
      </w:r>
      <w:r>
        <w:rPr>
          <w:rFonts w:ascii="Arial" w:cs="Arial" w:eastAsia="Arial" w:hAnsi="Arial"/>
          <w:color w:val="444444"/>
          <w:sz w:val="22"/>
          <w:szCs w:val="22"/>
        </w:rPr>
        <w:t xml:space="preserve">API access for auction platforms and estate liquidators</w:t>
      </w:r>
    </w:p>
    <w:p>
      <w:pPr>
        <w:pStyle w:val="ListParagraph"/>
        <w:numPr>
          <w:ilvl w:val="0"/>
          <w:numId w:val="2"/>
        </w:numPr>
        <w:spacing w:after="80"/>
      </w:pPr>
      <w:r>
        <w:t xml:space="preserve"/>
      </w:r>
      <w:r>
        <w:rPr>
          <w:rFonts w:ascii="Arial" w:cs="Arial" w:eastAsia="Arial" w:hAnsi="Arial"/>
          <w:color w:val="444444"/>
          <w:sz w:val="22"/>
          <w:szCs w:val="22"/>
        </w:rPr>
        <w:t xml:space="preserve">Proprietary grading dataset license — potentially the highest-margin revenue line</w:t>
      </w:r>
    </w:p>
    <w:p>
      <w:pPr>
        <w:spacing w:after="160"/>
      </w:pPr>
    </w:p>
    <w:p>
      <w:pPr>
        <w:spacing w:after="80" w:before="320"/>
      </w:pPr>
      <w:r>
        <w:rPr>
          <w:rFonts w:ascii="Arial" w:cs="Arial" w:eastAsia="Arial" w:hAnsi="Arial"/>
          <w:b/>
          <w:bCs/>
          <w:color w:val="B8922A"/>
          <w:sz w:val="26"/>
          <w:szCs w:val="26"/>
        </w:rPr>
        <w:t xml:space="preserve">05  </w:t>
      </w:r>
      <w:r>
        <w:rPr>
          <w:rFonts w:ascii="Arial" w:cs="Arial" w:eastAsia="Arial" w:hAnsi="Arial"/>
          <w:b/>
          <w:bCs/>
          <w:color w:val="1A1A1A"/>
          <w:sz w:val="26"/>
          <w:szCs w:val="26"/>
        </w:rPr>
        <w:t xml:space="preserve">The competitive moat</w:t>
      </w:r>
      <w:r>
        <w:rPr>
          <w:rFonts w:ascii="Arial" w:cs="Arial" w:eastAsia="Arial" w:hAnsi="Arial"/>
          <w:color w:val="888888"/>
          <w:sz w:val="18"/>
          <w:szCs w:val="18"/>
        </w:rPr>
        <w:t xml:space="preserve">   Why this is defensible</w:t>
      </w:r>
    </w:p>
    <w:p>
      <w:pPr>
        <w:pBdr>
          <w:bottom w:val="single" w:color="B8922A" w:sz="3"/>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FFFFF" w:val="clear"/>
            <w:tcMar>
              <w:top w:type="dxa" w:w="140"/>
              <w:left w:type="dxa" w:w="180"/>
              <w:bottom w:type="dxa" w:w="140"/>
              <w:right w:type="dxa" w:w="180"/>
            </w:tcMar>
          </w:tcPr>
          <w:p>
            <w:pPr>
              <w:spacing w:after="40"/>
            </w:pPr>
            <w:r>
              <w:rPr>
                <w:rFonts w:ascii="Arial" w:cs="Arial" w:eastAsia="Arial" w:hAnsi="Arial"/>
                <w:color w:val="888888"/>
                <w:sz w:val="18"/>
                <w:szCs w:val="18"/>
              </w:rPr>
              <w:t xml:space="preserve">Moat 1</w:t>
            </w:r>
          </w:p>
          <w:p>
            <w:pPr>
              <w:spacing w:after="80"/>
            </w:pPr>
            <w:r>
              <w:rPr>
                <w:rFonts w:ascii="Arial" w:cs="Arial" w:eastAsia="Arial" w:hAnsi="Arial"/>
                <w:b/>
                <w:bCs/>
                <w:color w:val="1A1A1A"/>
                <w:sz w:val="22"/>
                <w:szCs w:val="22"/>
              </w:rPr>
              <w:t xml:space="preserve">Proprietary grading dataset</w:t>
            </w:r>
          </w:p>
          <w:p>
            <w:pPr>
              <w:spacing w:after="0"/>
            </w:pPr>
            <w:r>
              <w:rPr>
                <w:rFonts w:ascii="Arial" w:cs="Arial" w:eastAsia="Arial" w:hAnsi="Arial"/>
                <w:color w:val="444444"/>
                <w:sz w:val="20"/>
                <w:szCs w:val="20"/>
              </w:rPr>
              <w:t xml:space="preserve">Every graded coin, every dealer correction, every outcome creates a labeled training set no competitor can replicate without our dealer relationships.</w:t>
            </w:r>
          </w:p>
        </w:tc>
        <w:tc>
          <w:tcPr>
            <w:tcW w:type="dxa" w:w="4680"/>
            <w:tcBorders>
              <w:top w:val="single" w:color="DDDDDD" w:sz="1"/>
              <w:left w:val="single" w:color="DDDDDD" w:sz="1"/>
              <w:bottom w:val="single" w:color="DDDDDD" w:sz="1"/>
              <w:right w:val="single" w:color="DDDDDD" w:sz="1"/>
            </w:tcBorders>
            <w:shd w:fill="FFFFFF" w:val="clear"/>
            <w:tcMar>
              <w:top w:type="dxa" w:w="140"/>
              <w:left w:type="dxa" w:w="180"/>
              <w:bottom w:type="dxa" w:w="140"/>
              <w:right w:type="dxa" w:w="180"/>
            </w:tcMar>
          </w:tcPr>
          <w:p>
            <w:pPr>
              <w:spacing w:after="40"/>
            </w:pPr>
            <w:r>
              <w:rPr>
                <w:rFonts w:ascii="Arial" w:cs="Arial" w:eastAsia="Arial" w:hAnsi="Arial"/>
                <w:color w:val="888888"/>
                <w:sz w:val="18"/>
                <w:szCs w:val="18"/>
              </w:rPr>
              <w:t xml:space="preserve">Moat 2</w:t>
            </w:r>
          </w:p>
          <w:p>
            <w:pPr>
              <w:spacing w:after="80"/>
            </w:pPr>
            <w:r>
              <w:rPr>
                <w:rFonts w:ascii="Arial" w:cs="Arial" w:eastAsia="Arial" w:hAnsi="Arial"/>
                <w:b/>
                <w:bCs/>
                <w:color w:val="1A1A1A"/>
                <w:sz w:val="22"/>
                <w:szCs w:val="22"/>
              </w:rPr>
              <w:t xml:space="preserve">Domain-specific engineering</w:t>
            </w:r>
          </w:p>
          <w:p>
            <w:pPr>
              <w:spacing w:after="0"/>
            </w:pPr>
            <w:r>
              <w:rPr>
                <w:rFonts w:ascii="Arial" w:cs="Arial" w:eastAsia="Arial" w:hAnsi="Arial"/>
                <w:color w:val="444444"/>
                <w:sz w:val="20"/>
                <w:szCs w:val="20"/>
              </w:rPr>
              <w:t xml:space="preserve">Sheldon scale, denomination verification protocol, key-date flags, melt calculation — months of numismatic expertise that cannot be reproduced by simply calling an LLM API.</w:t>
            </w:r>
          </w:p>
        </w:tc>
      </w:tr>
      <w:tr>
        <w:tc>
          <w:tcPr>
            <w:tcW w:type="dxa" w:w="4680"/>
            <w:tcBorders>
              <w:top w:val="single" w:color="DDDDDD" w:sz="1"/>
              <w:left w:val="single" w:color="DDDDDD" w:sz="1"/>
              <w:bottom w:val="single" w:color="DDDDDD" w:sz="1"/>
              <w:right w:val="single" w:color="DDDDDD" w:sz="1"/>
            </w:tcBorders>
            <w:shd w:fill="FFFFFF" w:val="clear"/>
            <w:tcMar>
              <w:top w:type="dxa" w:w="140"/>
              <w:left w:type="dxa" w:w="180"/>
              <w:bottom w:type="dxa" w:w="140"/>
              <w:right w:type="dxa" w:w="180"/>
            </w:tcMar>
          </w:tcPr>
          <w:p>
            <w:pPr>
              <w:spacing w:after="40"/>
            </w:pPr>
            <w:r>
              <w:rPr>
                <w:rFonts w:ascii="Arial" w:cs="Arial" w:eastAsia="Arial" w:hAnsi="Arial"/>
                <w:color w:val="888888"/>
                <w:sz w:val="18"/>
                <w:szCs w:val="18"/>
              </w:rPr>
              <w:t xml:space="preserve">Moat 3</w:t>
            </w:r>
          </w:p>
          <w:p>
            <w:pPr>
              <w:spacing w:after="80"/>
            </w:pPr>
            <w:r>
              <w:rPr>
                <w:rFonts w:ascii="Arial" w:cs="Arial" w:eastAsia="Arial" w:hAnsi="Arial"/>
                <w:b/>
                <w:bCs/>
                <w:color w:val="1A1A1A"/>
                <w:sz w:val="22"/>
                <w:szCs w:val="22"/>
              </w:rPr>
              <w:t xml:space="preserve">Multi-source pricing integration</w:t>
            </w:r>
          </w:p>
          <w:p>
            <w:pPr>
              <w:spacing w:after="0"/>
            </w:pPr>
            <w:r>
              <w:rPr>
                <w:rFonts w:ascii="Arial" w:cs="Arial" w:eastAsia="Arial" w:hAnsi="Arial"/>
                <w:color w:val="444444"/>
                <w:sz w:val="20"/>
                <w:szCs w:val="20"/>
              </w:rPr>
              <w:t xml:space="preserve">Greysheet, PCGS, eBay, live spot metals — each integration is non-trivial. This stack took months to build and won't be replicated quickly.</w:t>
            </w:r>
          </w:p>
        </w:tc>
        <w:tc>
          <w:tcPr>
            <w:tcW w:type="dxa" w:w="4680"/>
            <w:tcBorders>
              <w:top w:val="single" w:color="DDDDDD" w:sz="1"/>
              <w:left w:val="single" w:color="DDDDDD" w:sz="1"/>
              <w:bottom w:val="single" w:color="DDDDDD" w:sz="1"/>
              <w:right w:val="single" w:color="DDDDDD" w:sz="1"/>
            </w:tcBorders>
            <w:shd w:fill="FFFFFF" w:val="clear"/>
            <w:tcMar>
              <w:top w:type="dxa" w:w="140"/>
              <w:left w:type="dxa" w:w="180"/>
              <w:bottom w:type="dxa" w:w="140"/>
              <w:right w:type="dxa" w:w="180"/>
            </w:tcMar>
          </w:tcPr>
          <w:p>
            <w:pPr>
              <w:spacing w:after="40"/>
            </w:pPr>
            <w:r>
              <w:rPr>
                <w:rFonts w:ascii="Arial" w:cs="Arial" w:eastAsia="Arial" w:hAnsi="Arial"/>
                <w:color w:val="888888"/>
                <w:sz w:val="18"/>
                <w:szCs w:val="18"/>
              </w:rPr>
              <w:t xml:space="preserve">Moat 4</w:t>
            </w:r>
          </w:p>
          <w:p>
            <w:pPr>
              <w:spacing w:after="80"/>
            </w:pPr>
            <w:r>
              <w:rPr>
                <w:rFonts w:ascii="Arial" w:cs="Arial" w:eastAsia="Arial" w:hAnsi="Arial"/>
                <w:b/>
                <w:bCs/>
                <w:color w:val="1A1A1A"/>
                <w:sz w:val="22"/>
                <w:szCs w:val="22"/>
              </w:rPr>
              <w:t xml:space="preserve">Dealer trust and relationships</w:t>
            </w:r>
          </w:p>
          <w:p>
            <w:pPr>
              <w:spacing w:after="0"/>
            </w:pPr>
            <w:r>
              <w:rPr>
                <w:rFonts w:ascii="Arial" w:cs="Arial" w:eastAsia="Arial" w:hAnsi="Arial"/>
                <w:color w:val="444444"/>
                <w:sz w:val="20"/>
                <w:szCs w:val="20"/>
              </w:rPr>
              <w:t xml:space="preserve">Coin dealers are deeply relationship-driven. Early adopters become advocates. A dealer who trusts CoinFalcon's grade at a show will not switch to an unvalidated competitor.</w:t>
            </w:r>
          </w:p>
        </w:tc>
      </w:tr>
    </w:tbl>
    <w:p>
      <w:pPr>
        <w:spacing w:after="160"/>
      </w:pPr>
    </w:p>
    <w:p>
      <w:r>
        <w:br w:type="page"/>
      </w:r>
    </w:p>
    <w:p>
      <w:pPr>
        <w:spacing w:after="80" w:before="320"/>
      </w:pPr>
      <w:r>
        <w:rPr>
          <w:rFonts w:ascii="Arial" w:cs="Arial" w:eastAsia="Arial" w:hAnsi="Arial"/>
          <w:b/>
          <w:bCs/>
          <w:color w:val="B8922A"/>
          <w:sz w:val="26"/>
          <w:szCs w:val="26"/>
        </w:rPr>
        <w:t xml:space="preserve">06  </w:t>
      </w:r>
      <w:r>
        <w:rPr>
          <w:rFonts w:ascii="Arial" w:cs="Arial" w:eastAsia="Arial" w:hAnsi="Arial"/>
          <w:b/>
          <w:bCs/>
          <w:color w:val="1A1A1A"/>
          <w:sz w:val="26"/>
          <w:szCs w:val="26"/>
        </w:rPr>
        <w:t xml:space="preserve">Product roadmap</w:t>
      </w:r>
      <w:r>
        <w:rPr>
          <w:rFonts w:ascii="Arial" w:cs="Arial" w:eastAsia="Arial" w:hAnsi="Arial"/>
          <w:color w:val="888888"/>
          <w:sz w:val="18"/>
          <w:szCs w:val="18"/>
        </w:rPr>
        <w:t xml:space="preserve">   18-month view</w:t>
      </w:r>
    </w:p>
    <w:p>
      <w:pPr>
        <w:pBdr>
          <w:bottom w:val="single" w:color="B8922A" w:sz="3"/>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single" w:color="DDDDDD" w:sz="1"/>
              <w:left w:val="single" w:color="DDDDDD" w:sz="1"/>
              <w:bottom w:val="single" w:color="DDDDDD" w:sz="1"/>
              <w:right w:val="single" w:color="DDDDDD" w:sz="1"/>
            </w:tcBorders>
            <w:shd w:fill="1A1A1A" w:val="clear"/>
            <w:tcMar>
              <w:top w:type="dxa" w:w="80"/>
              <w:left w:type="dxa" w:w="160"/>
              <w:bottom w:type="dxa" w:w="80"/>
              <w:right w:type="dxa" w:w="160"/>
            </w:tcMar>
          </w:tcPr>
          <w:p>
            <w:r>
              <w:rPr>
                <w:rFonts w:ascii="Arial" w:cs="Arial" w:eastAsia="Arial" w:hAnsi="Arial"/>
                <w:b/>
                <w:bCs/>
                <w:color w:val="FFFFFF"/>
                <w:sz w:val="18"/>
                <w:szCs w:val="18"/>
              </w:rPr>
              <w:t xml:space="preserve">Phase</w:t>
            </w:r>
          </w:p>
        </w:tc>
        <w:tc>
          <w:tcPr>
            <w:tcW w:type="dxa" w:w="7680"/>
            <w:tcBorders>
              <w:top w:val="single" w:color="DDDDDD" w:sz="1"/>
              <w:left w:val="single" w:color="DDDDDD" w:sz="1"/>
              <w:bottom w:val="single" w:color="DDDDDD" w:sz="1"/>
              <w:right w:val="single" w:color="DDDDDD" w:sz="1"/>
            </w:tcBorders>
            <w:shd w:fill="1A1A1A" w:val="clear"/>
            <w:tcMar>
              <w:top w:type="dxa" w:w="80"/>
              <w:left w:type="dxa" w:w="180"/>
              <w:bottom w:type="dxa" w:w="80"/>
              <w:right w:type="dxa" w:w="180"/>
            </w:tcMar>
          </w:tcPr>
          <w:p>
            <w:r>
              <w:rPr>
                <w:rFonts w:ascii="Arial" w:cs="Arial" w:eastAsia="Arial" w:hAnsi="Arial"/>
                <w:b/>
                <w:bCs/>
                <w:color w:val="FFFFFF"/>
                <w:sz w:val="18"/>
                <w:szCs w:val="18"/>
              </w:rPr>
              <w:t xml:space="preserve">Milestones</w:t>
            </w:r>
          </w:p>
        </w:tc>
      </w:tr>
      <w:tr>
        <w:tc>
          <w:tcPr>
            <w:tcW w:type="dxa" w:w="1680"/>
            <w:tcBorders>
              <w:top w:val="single" w:color="DDDDDD" w:sz="1"/>
              <w:left w:val="single" w:color="DDDDDD" w:sz="1"/>
              <w:bottom w:val="single" w:color="DDDDDD" w:sz="1"/>
              <w:right w:val="single" w:color="DDDDDD" w:sz="1"/>
            </w:tcBorders>
            <w:shd w:fill="FDF5E2" w:val="clear"/>
            <w:tcMar>
              <w:top w:type="dxa" w:w="120"/>
              <w:left w:type="dxa" w:w="160"/>
              <w:bottom w:type="dxa" w:w="120"/>
              <w:right w:type="dxa" w:w="160"/>
            </w:tcMar>
            <w:vAlign w:val="top"/>
          </w:tcPr>
          <w:p>
            <w:pPr>
              <w:spacing w:after="40"/>
            </w:pPr>
            <w:r>
              <w:rPr>
                <w:rFonts w:ascii="Arial" w:cs="Arial" w:eastAsia="Arial" w:hAnsi="Arial"/>
                <w:b/>
                <w:bCs/>
                <w:color w:val="B8922A"/>
                <w:sz w:val="18"/>
                <w:szCs w:val="18"/>
              </w:rPr>
              <w:t xml:space="preserve">Phase 0</w:t>
            </w:r>
          </w:p>
          <w:p>
            <w:pPr>
              <w:spacing w:after="0"/>
            </w:pPr>
            <w:r>
              <w:rPr>
                <w:rFonts w:ascii="Arial" w:cs="Arial" w:eastAsia="Arial" w:hAnsi="Arial"/>
                <w:i/>
                <w:iCs/>
                <w:color w:val="888888"/>
                <w:sz w:val="17"/>
                <w:szCs w:val="17"/>
              </w:rPr>
              <w:t xml:space="preserve">Now → Month 3</w:t>
            </w:r>
          </w:p>
        </w:tc>
        <w:tc>
          <w:tcPr>
            <w:tcW w:type="dxa" w:w="7680"/>
            <w:tcBorders>
              <w:top w:val="single" w:color="DDDDDD" w:sz="1"/>
              <w:left w:val="single" w:color="DDDDDD" w:sz="1"/>
              <w:bottom w:val="single" w:color="DDDDDD" w:sz="1"/>
              <w:right w:val="single" w:color="DDDDDD" w:sz="1"/>
            </w:tcBorders>
            <w:shd w:fill="FDF5E2" w:val="clear"/>
            <w:tcMar>
              <w:top w:type="dxa" w:w="120"/>
              <w:left w:type="dxa" w:w="180"/>
              <w:bottom w:type="dxa" w:w="120"/>
              <w:right w:type="dxa" w:w="180"/>
            </w:tcMar>
          </w:tcPr>
          <w:p>
            <w:pPr>
              <w:spacing w:after="80"/>
            </w:pPr>
            <w:r>
              <w:rPr>
                <w:rFonts w:ascii="Arial" w:cs="Arial" w:eastAsia="Arial" w:hAnsi="Arial"/>
                <w:b/>
                <w:bCs/>
                <w:color w:val="1A1A1A"/>
                <w:sz w:val="22"/>
                <w:szCs w:val="22"/>
              </w:rPr>
              <w:t xml:space="preserve">Validate &amp; close first pilots</w:t>
            </w:r>
          </w:p>
          <w:p>
            <w:pPr>
              <w:pStyle w:val="ListParagraph"/>
              <w:numPr>
                <w:ilvl w:val="0"/>
                <w:numId w:val="2"/>
              </w:numPr>
              <w:spacing w:after="60"/>
            </w:pPr>
            <w:r>
              <w:rPr>
                <w:rFonts w:ascii="Arial" w:cs="Arial" w:eastAsia="Arial" w:hAnsi="Arial"/>
                <w:color w:val="444444"/>
                <w:sz w:val="20"/>
                <w:szCs w:val="20"/>
              </w:rPr>
              <w:t xml:space="preserve">Resolve Greysheet + PCGS API authentication (in active development)</w:t>
            </w:r>
          </w:p>
          <w:p>
            <w:pPr>
              <w:pStyle w:val="ListParagraph"/>
              <w:numPr>
                <w:ilvl w:val="0"/>
                <w:numId w:val="2"/>
              </w:numPr>
              <w:spacing w:after="60"/>
            </w:pPr>
            <w:r>
              <w:rPr>
                <w:rFonts w:ascii="Arial" w:cs="Arial" w:eastAsia="Arial" w:hAnsi="Arial"/>
                <w:color w:val="444444"/>
                <w:sz w:val="20"/>
                <w:szCs w:val="20"/>
              </w:rPr>
              <w:t xml:space="preserve">Implement eBay listing CSV export (59-column File Exchange template)</w:t>
            </w:r>
          </w:p>
          <w:p>
            <w:pPr>
              <w:pStyle w:val="ListParagraph"/>
              <w:numPr>
                <w:ilvl w:val="0"/>
                <w:numId w:val="2"/>
              </w:numPr>
              <w:spacing w:after="60"/>
            </w:pPr>
            <w:r>
              <w:rPr>
                <w:rFonts w:ascii="Arial" w:cs="Arial" w:eastAsia="Arial" w:hAnsi="Arial"/>
                <w:color w:val="444444"/>
                <w:sz w:val="20"/>
                <w:szCs w:val="20"/>
              </w:rPr>
              <w:t xml:space="preserve">Demo to 3–5 dealer contacts; target letter of intent or paid pilot</w:t>
            </w:r>
          </w:p>
          <w:p>
            <w:pPr>
              <w:pStyle w:val="ListParagraph"/>
              <w:numPr>
                <w:ilvl w:val="0"/>
                <w:numId w:val="2"/>
              </w:numPr>
              <w:spacing w:after="60"/>
            </w:pPr>
            <w:r>
              <w:rPr>
                <w:rFonts w:ascii="Arial" w:cs="Arial" w:eastAsia="Arial" w:hAnsi="Arial"/>
                <w:color w:val="444444"/>
                <w:sz w:val="20"/>
                <w:szCs w:val="20"/>
              </w:rPr>
              <w:t xml:space="preserve">Establish accuracy benchmark: grade 50 coins vs. PCGS certified grades</w:t>
            </w:r>
          </w:p>
        </w:tc>
      </w:tr>
      <w:tr>
        <w:tc>
          <w:tcPr>
            <w:tcW w:type="dxa" w:w="1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top"/>
          </w:tcPr>
          <w:p>
            <w:pPr>
              <w:spacing w:after="40"/>
            </w:pPr>
            <w:r>
              <w:rPr>
                <w:rFonts w:ascii="Arial" w:cs="Arial" w:eastAsia="Arial" w:hAnsi="Arial"/>
                <w:b/>
                <w:bCs/>
                <w:color w:val="B8922A"/>
                <w:sz w:val="18"/>
                <w:szCs w:val="18"/>
              </w:rPr>
              <w:t xml:space="preserve">Phase 1</w:t>
            </w:r>
          </w:p>
          <w:p>
            <w:pPr>
              <w:spacing w:after="0"/>
            </w:pPr>
            <w:r>
              <w:rPr>
                <w:rFonts w:ascii="Arial" w:cs="Arial" w:eastAsia="Arial" w:hAnsi="Arial"/>
                <w:i/>
                <w:iCs/>
                <w:color w:val="888888"/>
                <w:sz w:val="17"/>
                <w:szCs w:val="17"/>
              </w:rPr>
              <w:t xml:space="preserve">Month 3 → 6</w:t>
            </w:r>
          </w:p>
        </w:tc>
        <w:tc>
          <w:tcPr>
            <w:tcW w:type="dxa" w:w="7680"/>
            <w:tcBorders>
              <w:top w:val="single" w:color="DDDDDD" w:sz="1"/>
              <w:left w:val="single" w:color="DDDDDD" w:sz="1"/>
              <w:bottom w:val="single" w:color="DDDDDD" w:sz="1"/>
              <w:right w:val="single" w:color="DDDDDD" w:sz="1"/>
            </w:tcBorders>
            <w:shd w:fill="FFFFFF" w:val="clear"/>
            <w:tcMar>
              <w:top w:type="dxa" w:w="120"/>
              <w:left w:type="dxa" w:w="180"/>
              <w:bottom w:type="dxa" w:w="120"/>
              <w:right w:type="dxa" w:w="180"/>
            </w:tcMar>
          </w:tcPr>
          <w:p>
            <w:pPr>
              <w:spacing w:after="80"/>
            </w:pPr>
            <w:r>
              <w:rPr>
                <w:rFonts w:ascii="Arial" w:cs="Arial" w:eastAsia="Arial" w:hAnsi="Arial"/>
                <w:b/>
                <w:bCs/>
                <w:color w:val="1A1A1A"/>
                <w:sz w:val="22"/>
                <w:szCs w:val="22"/>
              </w:rPr>
              <w:t xml:space="preserve">Backend and closed beta</w:t>
            </w:r>
          </w:p>
          <w:p>
            <w:pPr>
              <w:pStyle w:val="ListParagraph"/>
              <w:numPr>
                <w:ilvl w:val="0"/>
                <w:numId w:val="2"/>
              </w:numPr>
              <w:spacing w:after="60"/>
            </w:pPr>
            <w:r>
              <w:rPr>
                <w:rFonts w:ascii="Arial" w:cs="Arial" w:eastAsia="Arial" w:hAnsi="Arial"/>
                <w:color w:val="444444"/>
                <w:sz w:val="20"/>
                <w:szCs w:val="20"/>
              </w:rPr>
              <w:t xml:space="preserve">FastAPI backend + Supabase (auth, PostgreSQL, file storage)</w:t>
            </w:r>
          </w:p>
          <w:p>
            <w:pPr>
              <w:pStyle w:val="ListParagraph"/>
              <w:numPr>
                <w:ilvl w:val="0"/>
                <w:numId w:val="2"/>
              </w:numPr>
              <w:spacing w:after="60"/>
            </w:pPr>
            <w:r>
              <w:rPr>
                <w:rFonts w:ascii="Arial" w:cs="Arial" w:eastAsia="Arial" w:hAnsi="Arial"/>
                <w:color w:val="444444"/>
                <w:sz w:val="20"/>
                <w:szCs w:val="20"/>
              </w:rPr>
              <w:t xml:space="preserve">User accounts, session history, grading audit trail per dealer</w:t>
            </w:r>
          </w:p>
          <w:p>
            <w:pPr>
              <w:pStyle w:val="ListParagraph"/>
              <w:numPr>
                <w:ilvl w:val="0"/>
                <w:numId w:val="2"/>
              </w:numPr>
              <w:spacing w:after="60"/>
            </w:pPr>
            <w:r>
              <w:rPr>
                <w:rFonts w:ascii="Arial" w:cs="Arial" w:eastAsia="Arial" w:hAnsi="Arial"/>
                <w:color w:val="444444"/>
                <w:sz w:val="20"/>
                <w:szCs w:val="20"/>
              </w:rPr>
              <w:t xml:space="preserve">Streamlit dealer UI for non-technical beta users</w:t>
            </w:r>
          </w:p>
          <w:p>
            <w:pPr>
              <w:pStyle w:val="ListParagraph"/>
              <w:numPr>
                <w:ilvl w:val="0"/>
                <w:numId w:val="2"/>
              </w:numPr>
              <w:spacing w:after="60"/>
            </w:pPr>
            <w:r>
              <w:rPr>
                <w:rFonts w:ascii="Arial" w:cs="Arial" w:eastAsia="Arial" w:hAnsi="Arial"/>
                <w:color w:val="444444"/>
                <w:sz w:val="20"/>
                <w:szCs w:val="20"/>
              </w:rPr>
              <w:t xml:space="preserve">5–10 paying beta dealers at $49/mo; feedback into grading refinement</w:t>
            </w:r>
          </w:p>
        </w:tc>
      </w:tr>
      <w:tr>
        <w:tc>
          <w:tcPr>
            <w:tcW w:type="dxa" w:w="1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top"/>
          </w:tcPr>
          <w:p>
            <w:pPr>
              <w:spacing w:after="40"/>
            </w:pPr>
            <w:r>
              <w:rPr>
                <w:rFonts w:ascii="Arial" w:cs="Arial" w:eastAsia="Arial" w:hAnsi="Arial"/>
                <w:b/>
                <w:bCs/>
                <w:color w:val="B8922A"/>
                <w:sz w:val="18"/>
                <w:szCs w:val="18"/>
              </w:rPr>
              <w:t xml:space="preserve">Phase 2</w:t>
            </w:r>
          </w:p>
          <w:p>
            <w:pPr>
              <w:spacing w:after="0"/>
            </w:pPr>
            <w:r>
              <w:rPr>
                <w:rFonts w:ascii="Arial" w:cs="Arial" w:eastAsia="Arial" w:hAnsi="Arial"/>
                <w:i/>
                <w:iCs/>
                <w:color w:val="888888"/>
                <w:sz w:val="17"/>
                <w:szCs w:val="17"/>
              </w:rPr>
              <w:t xml:space="preserve">Month 6 → 12</w:t>
            </w:r>
          </w:p>
        </w:tc>
        <w:tc>
          <w:tcPr>
            <w:tcW w:type="dxa" w:w="7680"/>
            <w:tcBorders>
              <w:top w:val="single" w:color="DDDDDD" w:sz="1"/>
              <w:left w:val="single" w:color="DDDDDD" w:sz="1"/>
              <w:bottom w:val="single" w:color="DDDDDD" w:sz="1"/>
              <w:right w:val="single" w:color="DDDDDD" w:sz="1"/>
            </w:tcBorders>
            <w:shd w:fill="FFFFFF" w:val="clear"/>
            <w:tcMar>
              <w:top w:type="dxa" w:w="120"/>
              <w:left w:type="dxa" w:w="180"/>
              <w:bottom w:type="dxa" w:w="120"/>
              <w:right w:type="dxa" w:w="180"/>
            </w:tcMar>
          </w:tcPr>
          <w:p>
            <w:pPr>
              <w:spacing w:after="80"/>
            </w:pPr>
            <w:r>
              <w:rPr>
                <w:rFonts w:ascii="Arial" w:cs="Arial" w:eastAsia="Arial" w:hAnsi="Arial"/>
                <w:b/>
                <w:bCs/>
                <w:color w:val="1A1A1A"/>
                <w:sz w:val="22"/>
                <w:szCs w:val="22"/>
              </w:rPr>
              <w:t xml:space="preserve">Production and growth</w:t>
            </w:r>
          </w:p>
          <w:p>
            <w:pPr>
              <w:pStyle w:val="ListParagraph"/>
              <w:numPr>
                <w:ilvl w:val="0"/>
                <w:numId w:val="2"/>
              </w:numPr>
              <w:spacing w:after="60"/>
            </w:pPr>
            <w:r>
              <w:rPr>
                <w:rFonts w:ascii="Arial" w:cs="Arial" w:eastAsia="Arial" w:hAnsi="Arial"/>
                <w:color w:val="444444"/>
                <w:sz w:val="20"/>
                <w:szCs w:val="20"/>
              </w:rPr>
              <w:t xml:space="preserve">React/Next.js production frontend replacing Streamlit</w:t>
            </w:r>
          </w:p>
          <w:p>
            <w:pPr>
              <w:pStyle w:val="ListParagraph"/>
              <w:numPr>
                <w:ilvl w:val="0"/>
                <w:numId w:val="2"/>
              </w:numPr>
              <w:spacing w:after="60"/>
            </w:pPr>
            <w:r>
              <w:rPr>
                <w:rFonts w:ascii="Arial" w:cs="Arial" w:eastAsia="Arial" w:hAnsi="Arial"/>
                <w:color w:val="444444"/>
                <w:sz w:val="20"/>
                <w:szCs w:val="20"/>
              </w:rPr>
              <w:t xml:space="preserve">Full pricing tier launch at $149/mo; dealer association outreach (ANA, PNG)</w:t>
            </w:r>
          </w:p>
          <w:p>
            <w:pPr>
              <w:pStyle w:val="ListParagraph"/>
              <w:numPr>
                <w:ilvl w:val="0"/>
                <w:numId w:val="2"/>
              </w:numPr>
              <w:spacing w:after="60"/>
            </w:pPr>
            <w:r>
              <w:rPr>
                <w:rFonts w:ascii="Arial" w:cs="Arial" w:eastAsia="Arial" w:hAnsi="Arial"/>
                <w:color w:val="444444"/>
                <w:sz w:val="20"/>
                <w:szCs w:val="20"/>
              </w:rPr>
              <w:t xml:space="preserve">Batch import: process 50+ coin photos from a single lot upload</w:t>
            </w:r>
          </w:p>
          <w:p>
            <w:pPr>
              <w:pStyle w:val="ListParagraph"/>
              <w:numPr>
                <w:ilvl w:val="0"/>
                <w:numId w:val="2"/>
              </w:numPr>
              <w:spacing w:after="60"/>
            </w:pPr>
            <w:r>
              <w:rPr>
                <w:rFonts w:ascii="Arial" w:cs="Arial" w:eastAsia="Arial" w:hAnsi="Arial"/>
                <w:color w:val="444444"/>
                <w:sz w:val="20"/>
                <w:szCs w:val="20"/>
              </w:rPr>
              <w:t xml:space="preserve">Grading outcome tracking: dealer logs actual sale prices to train the model</w:t>
            </w:r>
          </w:p>
        </w:tc>
      </w:tr>
      <w:tr>
        <w:tc>
          <w:tcPr>
            <w:tcW w:type="dxa" w:w="1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top"/>
          </w:tcPr>
          <w:p>
            <w:pPr>
              <w:spacing w:after="40"/>
            </w:pPr>
            <w:r>
              <w:rPr>
                <w:rFonts w:ascii="Arial" w:cs="Arial" w:eastAsia="Arial" w:hAnsi="Arial"/>
                <w:b/>
                <w:bCs/>
                <w:color w:val="B8922A"/>
                <w:sz w:val="18"/>
                <w:szCs w:val="18"/>
              </w:rPr>
              <w:t xml:space="preserve">Phase 3</w:t>
            </w:r>
          </w:p>
          <w:p>
            <w:pPr>
              <w:spacing w:after="0"/>
            </w:pPr>
            <w:r>
              <w:rPr>
                <w:rFonts w:ascii="Arial" w:cs="Arial" w:eastAsia="Arial" w:hAnsi="Arial"/>
                <w:i/>
                <w:iCs/>
                <w:color w:val="888888"/>
                <w:sz w:val="17"/>
                <w:szCs w:val="17"/>
              </w:rPr>
              <w:t xml:space="preserve">Month 12 → 18</w:t>
            </w:r>
          </w:p>
        </w:tc>
        <w:tc>
          <w:tcPr>
            <w:tcW w:type="dxa" w:w="7680"/>
            <w:tcBorders>
              <w:top w:val="single" w:color="DDDDDD" w:sz="1"/>
              <w:left w:val="single" w:color="DDDDDD" w:sz="1"/>
              <w:bottom w:val="single" w:color="DDDDDD" w:sz="1"/>
              <w:right w:val="single" w:color="DDDDDD" w:sz="1"/>
            </w:tcBorders>
            <w:shd w:fill="FFFFFF" w:val="clear"/>
            <w:tcMar>
              <w:top w:type="dxa" w:w="120"/>
              <w:left w:type="dxa" w:w="180"/>
              <w:bottom w:type="dxa" w:w="120"/>
              <w:right w:type="dxa" w:w="180"/>
            </w:tcMar>
          </w:tcPr>
          <w:p>
            <w:pPr>
              <w:spacing w:after="80"/>
            </w:pPr>
            <w:r>
              <w:rPr>
                <w:rFonts w:ascii="Arial" w:cs="Arial" w:eastAsia="Arial" w:hAnsi="Arial"/>
                <w:b/>
                <w:bCs/>
                <w:color w:val="1A1A1A"/>
                <w:sz w:val="22"/>
                <w:szCs w:val="22"/>
              </w:rPr>
              <w:t xml:space="preserve">Platform and data moat</w:t>
            </w:r>
          </w:p>
          <w:p>
            <w:pPr>
              <w:pStyle w:val="ListParagraph"/>
              <w:numPr>
                <w:ilvl w:val="0"/>
                <w:numId w:val="2"/>
              </w:numPr>
              <w:spacing w:after="60"/>
            </w:pPr>
            <w:r>
              <w:rPr>
                <w:rFonts w:ascii="Arial" w:cs="Arial" w:eastAsia="Arial" w:hAnsi="Arial"/>
                <w:color w:val="444444"/>
                <w:sz w:val="20"/>
                <w:szCs w:val="20"/>
              </w:rPr>
              <w:t xml:space="preserve">Fine-tuned grading model trained on proprietary labeled dataset</w:t>
            </w:r>
          </w:p>
          <w:p>
            <w:pPr>
              <w:pStyle w:val="ListParagraph"/>
              <w:numPr>
                <w:ilvl w:val="0"/>
                <w:numId w:val="2"/>
              </w:numPr>
              <w:spacing w:after="60"/>
            </w:pPr>
            <w:r>
              <w:rPr>
                <w:rFonts w:ascii="Arial" w:cs="Arial" w:eastAsia="Arial" w:hAnsi="Arial"/>
                <w:color w:val="444444"/>
                <w:sz w:val="20"/>
                <w:szCs w:val="20"/>
              </w:rPr>
              <w:t xml:space="preserve">Enterprise tier: multi-user shops, API access for integrators</w:t>
            </w:r>
          </w:p>
          <w:p>
            <w:pPr>
              <w:pStyle w:val="ListParagraph"/>
              <w:numPr>
                <w:ilvl w:val="0"/>
                <w:numId w:val="2"/>
              </w:numPr>
              <w:spacing w:after="60"/>
            </w:pPr>
            <w:r>
              <w:rPr>
                <w:rFonts w:ascii="Arial" w:cs="Arial" w:eastAsia="Arial" w:hAnsi="Arial"/>
                <w:color w:val="444444"/>
                <w:sz w:val="20"/>
                <w:szCs w:val="20"/>
              </w:rPr>
              <w:t xml:space="preserve">Grading dataset licensing to auction houses and insurers</w:t>
            </w:r>
          </w:p>
          <w:p>
            <w:pPr>
              <w:pStyle w:val="ListParagraph"/>
              <w:numPr>
                <w:ilvl w:val="0"/>
                <w:numId w:val="2"/>
              </w:numPr>
              <w:spacing w:after="60"/>
            </w:pPr>
            <w:r>
              <w:rPr>
                <w:rFonts w:ascii="Arial" w:cs="Arial" w:eastAsia="Arial" w:hAnsi="Arial"/>
                <w:color w:val="444444"/>
                <w:sz w:val="20"/>
                <w:szCs w:val="20"/>
              </w:rPr>
              <w:t xml:space="preserve">International expansion: UK, Germany, Australia numismatic markets</w:t>
            </w:r>
          </w:p>
        </w:tc>
      </w:tr>
    </w:tbl>
    <w:p>
      <w:pPr>
        <w:spacing w:after="160"/>
      </w:pPr>
    </w:p>
    <w:p>
      <w:pPr>
        <w:spacing w:after="80" w:before="320"/>
      </w:pPr>
      <w:r>
        <w:rPr>
          <w:rFonts w:ascii="Arial" w:cs="Arial" w:eastAsia="Arial" w:hAnsi="Arial"/>
          <w:b/>
          <w:bCs/>
          <w:color w:val="B8922A"/>
          <w:sz w:val="26"/>
          <w:szCs w:val="26"/>
        </w:rPr>
        <w:t xml:space="preserve">07  </w:t>
      </w:r>
      <w:r>
        <w:rPr>
          <w:rFonts w:ascii="Arial" w:cs="Arial" w:eastAsia="Arial" w:hAnsi="Arial"/>
          <w:b/>
          <w:bCs/>
          <w:color w:val="1A1A1A"/>
          <w:sz w:val="26"/>
          <w:szCs w:val="26"/>
        </w:rPr>
        <w:t xml:space="preserve">Key risks and mitigations</w:t>
      </w:r>
      <w:r>
        <w:rPr>
          <w:rFonts w:ascii="Arial" w:cs="Arial" w:eastAsia="Arial" w:hAnsi="Arial"/>
          <w:color w:val="888888"/>
          <w:sz w:val="18"/>
          <w:szCs w:val="18"/>
        </w:rPr>
        <w:t xml:space="preserve">   Honest assessment</w:t>
      </w:r>
    </w:p>
    <w:p>
      <w:pPr>
        <w:pBdr>
          <w:bottom w:val="single" w:color="B8922A" w:sz="3"/>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c>
          <w:tcPr>
            <w:tcW w:type="dxa" w:w="2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5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c>
          <w:tcPr>
            <w:tcW w:type="dxa" w:w="16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Level</w:t>
            </w:r>
          </w:p>
        </w:tc>
      </w:tr>
      <w:tr>
        <w:tc>
          <w:tcPr>
            <w:tcW w:type="dxa" w:w="2200"/>
            <w:tcBorders>
              <w:top w:val="single" w:color="DDDDDD" w:sz="1"/>
              <w:left w:val="single" w:color="DDDDDD" w:sz="1"/>
              <w:bottom w:val="single" w:color="DDDDDD" w:sz="1"/>
              <w:right w:val="single" w:color="DDDDDD" w:sz="1"/>
            </w:tcBorders>
            <w:shd w:fill="FEF5E0" w:val="clear"/>
            <w:tcMar>
              <w:top w:type="dxa" w:w="80"/>
              <w:left w:type="dxa" w:w="120"/>
              <w:bottom w:type="dxa" w:w="80"/>
              <w:right w:type="dxa" w:w="120"/>
            </w:tcMar>
            <w:vAlign w:val="top"/>
          </w:tcPr>
          <w:p>
            <w:r>
              <w:rPr>
                <w:rFonts w:ascii="Arial" w:cs="Arial" w:eastAsia="Arial" w:hAnsi="Arial"/>
                <w:b/>
                <w:bCs/>
                <w:color w:val="A0620A"/>
                <w:sz w:val="20"/>
                <w:szCs w:val="20"/>
              </w:rPr>
              <w:t xml:space="preserve">AI grading accuracy</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Conservative protocol, confidence scores, and 'Needs expert review' flag. We grade down, not up.</w:t>
            </w:r>
          </w:p>
        </w:tc>
        <w:tc>
          <w:tcPr>
            <w:tcW w:type="dxa" w:w="1600"/>
            <w:tcBorders>
              <w:top w:val="single" w:color="DDDDDD" w:sz="1"/>
              <w:left w:val="single" w:color="DDDDDD" w:sz="1"/>
              <w:bottom w:val="single" w:color="DDDDDD" w:sz="1"/>
              <w:right w:val="single" w:color="DDDDDD" w:sz="1"/>
            </w:tcBorders>
            <w:shd w:fill="FEF5E0" w:val="clear"/>
            <w:tcMar>
              <w:top w:type="dxa" w:w="80"/>
              <w:left w:type="dxa" w:w="120"/>
              <w:bottom w:type="dxa" w:w="80"/>
              <w:right w:type="dxa" w:w="120"/>
            </w:tcMar>
            <w:vAlign w:val="top"/>
          </w:tcPr>
          <w:p>
            <w:r>
              <w:rPr>
                <w:rFonts w:ascii="Arial" w:cs="Arial" w:eastAsia="Arial" w:hAnsi="Arial"/>
                <w:b/>
                <w:bCs/>
                <w:color w:val="A0620A"/>
                <w:sz w:val="20"/>
                <w:szCs w:val="20"/>
              </w:rPr>
              <w:t xml:space="preserve">Medium</w:t>
            </w:r>
          </w:p>
        </w:tc>
      </w:tr>
      <w:tr>
        <w:tc>
          <w:tcPr>
            <w:tcW w:type="dxa" w:w="2200"/>
            <w:tcBorders>
              <w:top w:val="single" w:color="DDDDDD" w:sz="1"/>
              <w:left w:val="single" w:color="DDDDDD" w:sz="1"/>
              <w:bottom w:val="single" w:color="DDDDDD" w:sz="1"/>
              <w:right w:val="single" w:color="DDDDDD" w:sz="1"/>
            </w:tcBorders>
            <w:shd w:fill="FEF5E0" w:val="clear"/>
            <w:tcMar>
              <w:top w:type="dxa" w:w="80"/>
              <w:left w:type="dxa" w:w="120"/>
              <w:bottom w:type="dxa" w:w="80"/>
              <w:right w:type="dxa" w:w="120"/>
            </w:tcMar>
            <w:vAlign w:val="top"/>
          </w:tcPr>
          <w:p>
            <w:r>
              <w:rPr>
                <w:rFonts w:ascii="Arial" w:cs="Arial" w:eastAsia="Arial" w:hAnsi="Arial"/>
                <w:b/>
                <w:bCs/>
                <w:color w:val="A0620A"/>
                <w:sz w:val="20"/>
                <w:szCs w:val="20"/>
              </w:rPr>
              <w:t xml:space="preserve">API dependency (Anthropic)</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Architecture designed to swap vision models. Prompt is model-agnostic. GPT-4o/Gemini benchmarking planned.</w:t>
            </w:r>
          </w:p>
        </w:tc>
        <w:tc>
          <w:tcPr>
            <w:tcW w:type="dxa" w:w="1600"/>
            <w:tcBorders>
              <w:top w:val="single" w:color="DDDDDD" w:sz="1"/>
              <w:left w:val="single" w:color="DDDDDD" w:sz="1"/>
              <w:bottom w:val="single" w:color="DDDDDD" w:sz="1"/>
              <w:right w:val="single" w:color="DDDDDD" w:sz="1"/>
            </w:tcBorders>
            <w:shd w:fill="FEF5E0" w:val="clear"/>
            <w:tcMar>
              <w:top w:type="dxa" w:w="80"/>
              <w:left w:type="dxa" w:w="120"/>
              <w:bottom w:type="dxa" w:w="80"/>
              <w:right w:type="dxa" w:w="120"/>
            </w:tcMar>
            <w:vAlign w:val="top"/>
          </w:tcPr>
          <w:p>
            <w:r>
              <w:rPr>
                <w:rFonts w:ascii="Arial" w:cs="Arial" w:eastAsia="Arial" w:hAnsi="Arial"/>
                <w:b/>
                <w:bCs/>
                <w:color w:val="A0620A"/>
                <w:sz w:val="20"/>
                <w:szCs w:val="20"/>
              </w:rPr>
              <w:t xml:space="preserve">Medium</w:t>
            </w:r>
          </w:p>
        </w:tc>
      </w:tr>
      <w:tr>
        <w:tc>
          <w:tcPr>
            <w:tcW w:type="dxa" w:w="2200"/>
            <w:tcBorders>
              <w:top w:val="single" w:color="DDDDDD" w:sz="1"/>
              <w:left w:val="single" w:color="DDDDDD" w:sz="1"/>
              <w:bottom w:val="single" w:color="DDDDDD" w:sz="1"/>
              <w:right w:val="single" w:color="DDDDDD" w:sz="1"/>
            </w:tcBorders>
            <w:shd w:fill="FEF5E0" w:val="clear"/>
            <w:tcMar>
              <w:top w:type="dxa" w:w="80"/>
              <w:left w:type="dxa" w:w="120"/>
              <w:bottom w:type="dxa" w:w="80"/>
              <w:right w:type="dxa" w:w="120"/>
            </w:tcMar>
            <w:vAlign w:val="top"/>
          </w:tcPr>
          <w:p>
            <w:r>
              <w:rPr>
                <w:rFonts w:ascii="Arial" w:cs="Arial" w:eastAsia="Arial" w:hAnsi="Arial"/>
                <w:b/>
                <w:bCs/>
                <w:color w:val="A0620A"/>
                <w:sz w:val="20"/>
                <w:szCs w:val="20"/>
              </w:rPr>
              <w:t xml:space="preserve">Dealer adoption inertia</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ROI-first demo (one prevented bad buy covers the month). Trivially low price vs. alternative cost.</w:t>
            </w:r>
          </w:p>
        </w:tc>
        <w:tc>
          <w:tcPr>
            <w:tcW w:type="dxa" w:w="1600"/>
            <w:tcBorders>
              <w:top w:val="single" w:color="DDDDDD" w:sz="1"/>
              <w:left w:val="single" w:color="DDDDDD" w:sz="1"/>
              <w:bottom w:val="single" w:color="DDDDDD" w:sz="1"/>
              <w:right w:val="single" w:color="DDDDDD" w:sz="1"/>
            </w:tcBorders>
            <w:shd w:fill="FEF5E0" w:val="clear"/>
            <w:tcMar>
              <w:top w:type="dxa" w:w="80"/>
              <w:left w:type="dxa" w:w="120"/>
              <w:bottom w:type="dxa" w:w="80"/>
              <w:right w:type="dxa" w:w="120"/>
            </w:tcMar>
            <w:vAlign w:val="top"/>
          </w:tcPr>
          <w:p>
            <w:r>
              <w:rPr>
                <w:rFonts w:ascii="Arial" w:cs="Arial" w:eastAsia="Arial" w:hAnsi="Arial"/>
                <w:b/>
                <w:bCs/>
                <w:color w:val="A0620A"/>
                <w:sz w:val="20"/>
                <w:szCs w:val="20"/>
              </w:rPr>
              <w:t xml:space="preserve">Medium</w:t>
            </w:r>
          </w:p>
        </w:tc>
      </w:tr>
      <w:tr>
        <w:tc>
          <w:tcPr>
            <w:tcW w:type="dxa" w:w="2200"/>
            <w:tcBorders>
              <w:top w:val="single" w:color="DDDDDD" w:sz="1"/>
              <w:left w:val="single" w:color="DDDDDD" w:sz="1"/>
              <w:bottom w:val="single" w:color="DDDDDD" w:sz="1"/>
              <w:right w:val="single" w:color="DDDDDD" w:sz="1"/>
            </w:tcBorders>
            <w:shd w:fill="EAF5EF" w:val="clear"/>
            <w:tcMar>
              <w:top w:type="dxa" w:w="80"/>
              <w:left w:type="dxa" w:w="120"/>
              <w:bottom w:type="dxa" w:w="80"/>
              <w:right w:type="dxa" w:w="120"/>
            </w:tcMar>
            <w:vAlign w:val="top"/>
          </w:tcPr>
          <w:p>
            <w:r>
              <w:rPr>
                <w:rFonts w:ascii="Arial" w:cs="Arial" w:eastAsia="Arial" w:hAnsi="Arial"/>
                <w:b/>
                <w:bCs/>
                <w:color w:val="2E7D52"/>
                <w:sz w:val="20"/>
                <w:szCs w:val="20"/>
              </w:rPr>
              <w:t xml:space="preserve">Big player entry (PCGS/NGC)</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No incentive to disrupt their $50/coin slab business. They are not a software company.</w:t>
            </w:r>
          </w:p>
        </w:tc>
        <w:tc>
          <w:tcPr>
            <w:tcW w:type="dxa" w:w="1600"/>
            <w:tcBorders>
              <w:top w:val="single" w:color="DDDDDD" w:sz="1"/>
              <w:left w:val="single" w:color="DDDDDD" w:sz="1"/>
              <w:bottom w:val="single" w:color="DDDDDD" w:sz="1"/>
              <w:right w:val="single" w:color="DDDDDD" w:sz="1"/>
            </w:tcBorders>
            <w:shd w:fill="EAF5EF" w:val="clear"/>
            <w:tcMar>
              <w:top w:type="dxa" w:w="80"/>
              <w:left w:type="dxa" w:w="120"/>
              <w:bottom w:type="dxa" w:w="80"/>
              <w:right w:type="dxa" w:w="120"/>
            </w:tcMar>
            <w:vAlign w:val="top"/>
          </w:tcPr>
          <w:p>
            <w:r>
              <w:rPr>
                <w:rFonts w:ascii="Arial" w:cs="Arial" w:eastAsia="Arial" w:hAnsi="Arial"/>
                <w:b/>
                <w:bCs/>
                <w:color w:val="2E7D52"/>
                <w:sz w:val="20"/>
                <w:szCs w:val="20"/>
              </w:rPr>
              <w:t xml:space="preserve">Low</w:t>
            </w:r>
          </w:p>
        </w:tc>
      </w:tr>
      <w:tr>
        <w:tc>
          <w:tcPr>
            <w:tcW w:type="dxa" w:w="2200"/>
            <w:tcBorders>
              <w:top w:val="single" w:color="DDDDDD" w:sz="1"/>
              <w:left w:val="single" w:color="DDDDDD" w:sz="1"/>
              <w:bottom w:val="single" w:color="DDDDDD" w:sz="1"/>
              <w:right w:val="single" w:color="DDDDDD" w:sz="1"/>
            </w:tcBorders>
            <w:shd w:fill="FEF5E0" w:val="clear"/>
            <w:tcMar>
              <w:top w:type="dxa" w:w="80"/>
              <w:left w:type="dxa" w:w="120"/>
              <w:bottom w:type="dxa" w:w="80"/>
              <w:right w:type="dxa" w:w="120"/>
            </w:tcMar>
            <w:vAlign w:val="top"/>
          </w:tcPr>
          <w:p>
            <w:r>
              <w:rPr>
                <w:rFonts w:ascii="Arial" w:cs="Arial" w:eastAsia="Arial" w:hAnsi="Arial"/>
                <w:b/>
                <w:bCs/>
                <w:color w:val="A0620A"/>
                <w:sz w:val="20"/>
                <w:szCs w:val="20"/>
              </w:rPr>
              <w:t xml:space="preserve">Pricing data API access</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Active integration in progress. eBay is a fallback. Legal scraping review if APIs become restrictive.</w:t>
            </w:r>
          </w:p>
        </w:tc>
        <w:tc>
          <w:tcPr>
            <w:tcW w:type="dxa" w:w="1600"/>
            <w:tcBorders>
              <w:top w:val="single" w:color="DDDDDD" w:sz="1"/>
              <w:left w:val="single" w:color="DDDDDD" w:sz="1"/>
              <w:bottom w:val="single" w:color="DDDDDD" w:sz="1"/>
              <w:right w:val="single" w:color="DDDDDD" w:sz="1"/>
            </w:tcBorders>
            <w:shd w:fill="FEF5E0" w:val="clear"/>
            <w:tcMar>
              <w:top w:type="dxa" w:w="80"/>
              <w:left w:type="dxa" w:w="120"/>
              <w:bottom w:type="dxa" w:w="80"/>
              <w:right w:type="dxa" w:w="120"/>
            </w:tcMar>
            <w:vAlign w:val="top"/>
          </w:tcPr>
          <w:p>
            <w:r>
              <w:rPr>
                <w:rFonts w:ascii="Arial" w:cs="Arial" w:eastAsia="Arial" w:hAnsi="Arial"/>
                <w:b/>
                <w:bCs/>
                <w:color w:val="A0620A"/>
                <w:sz w:val="20"/>
                <w:szCs w:val="20"/>
              </w:rPr>
              <w:t xml:space="preserve">Medium</w:t>
            </w:r>
          </w:p>
        </w:tc>
      </w:tr>
      <w:tr>
        <w:tc>
          <w:tcPr>
            <w:tcW w:type="dxa" w:w="22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vAlign w:val="top"/>
          </w:tcPr>
          <w:p>
            <w:r>
              <w:rPr>
                <w:rFonts w:ascii="Arial" w:cs="Arial" w:eastAsia="Arial" w:hAnsi="Arial"/>
                <w:b/>
                <w:bCs/>
                <w:color w:val="C0392B"/>
                <w:sz w:val="20"/>
                <w:szCs w:val="20"/>
              </w:rPr>
              <w:t xml:space="preserve">Technical execution bandwidth</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444444"/>
                <w:sz w:val="20"/>
                <w:szCs w:val="20"/>
              </w:rPr>
              <w:t xml:space="preserve">Most critical near-term constraint. Requires Python/FastAPI hire or co-founder. Est. $3–8K freelance.</w:t>
            </w:r>
          </w:p>
        </w:tc>
        <w:tc>
          <w:tcPr>
            <w:tcW w:type="dxa" w:w="16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vAlign w:val="top"/>
          </w:tcPr>
          <w:p>
            <w:r>
              <w:rPr>
                <w:rFonts w:ascii="Arial" w:cs="Arial" w:eastAsia="Arial" w:hAnsi="Arial"/>
                <w:b/>
                <w:bCs/>
                <w:color w:val="C0392B"/>
                <w:sz w:val="20"/>
                <w:szCs w:val="20"/>
              </w:rPr>
              <w:t xml:space="preserve">High → now</w:t>
            </w:r>
          </w:p>
        </w:tc>
      </w:tr>
    </w:tbl>
    <w:p>
      <w:pPr>
        <w:spacing w:after="160"/>
      </w:pPr>
    </w:p>
    <w:p>
      <w:pPr>
        <w:spacing w:after="80" w:before="320"/>
      </w:pPr>
      <w:r>
        <w:rPr>
          <w:rFonts w:ascii="Arial" w:cs="Arial" w:eastAsia="Arial" w:hAnsi="Arial"/>
          <w:b/>
          <w:bCs/>
          <w:color w:val="B8922A"/>
          <w:sz w:val="26"/>
          <w:szCs w:val="26"/>
        </w:rPr>
        <w:t xml:space="preserve">08  </w:t>
      </w:r>
      <w:r>
        <w:rPr>
          <w:rFonts w:ascii="Arial" w:cs="Arial" w:eastAsia="Arial" w:hAnsi="Arial"/>
          <w:b/>
          <w:bCs/>
          <w:color w:val="1A1A1A"/>
          <w:sz w:val="26"/>
          <w:szCs w:val="26"/>
        </w:rPr>
        <w:t xml:space="preserve">What we are asking from you</w:t>
      </w:r>
      <w:r>
        <w:rPr>
          <w:rFonts w:ascii="Arial" w:cs="Arial" w:eastAsia="Arial" w:hAnsi="Arial"/>
          <w:color w:val="888888"/>
          <w:sz w:val="18"/>
          <w:szCs w:val="18"/>
        </w:rPr>
        <w:t xml:space="preserve">   The ask</w:t>
      </w:r>
    </w:p>
    <w:p>
      <w:pPr>
        <w:pBdr>
          <w:bottom w:val="single" w:color="B8922A" w:sz="3"/>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DF5E2" w:val="clear"/>
            <w:tcMar>
              <w:top w:type="dxa" w:w="120"/>
              <w:left w:type="dxa" w:w="160"/>
              <w:bottom w:type="dxa" w:w="120"/>
              <w:right w:type="dxa" w:w="160"/>
            </w:tcMar>
            <w:vAlign w:val="top"/>
          </w:tcPr>
          <w:p>
            <w:r>
              <w:rPr>
                <w:rFonts w:ascii="Arial" w:cs="Arial" w:eastAsia="Arial" w:hAnsi="Arial"/>
                <w:b/>
                <w:bCs/>
                <w:color w:val="B8922A"/>
                <w:sz w:val="20"/>
                <w:szCs w:val="20"/>
              </w:rPr>
              <w:t xml:space="preserve">Architecture guidance</w:t>
            </w:r>
          </w:p>
        </w:tc>
        <w:tc>
          <w:tcPr>
            <w:tcW w:type="dxa" w:w="7160"/>
            <w:tcBorders>
              <w:top w:val="single" w:color="DDDDDD" w:sz="1"/>
              <w:left w:val="single" w:color="DDDDDD" w:sz="1"/>
              <w:bottom w:val="single" w:color="DDDDDD" w:sz="1"/>
              <w:right w:val="single" w:color="DDDDDD" w:sz="1"/>
            </w:tcBorders>
            <w:shd w:fill="FFFFFF" w:val="clear"/>
            <w:tcMar>
              <w:top w:type="dxa" w:w="120"/>
              <w:left w:type="dxa" w:w="180"/>
              <w:bottom w:type="dxa" w:w="120"/>
              <w:right w:type="dxa" w:w="180"/>
            </w:tcMar>
          </w:tcPr>
          <w:p>
            <w:r>
              <w:rPr>
                <w:rFonts w:ascii="Arial" w:cs="Arial" w:eastAsia="Arial" w:hAnsi="Arial"/>
                <w:color w:val="444444"/>
                <w:sz w:val="20"/>
                <w:szCs w:val="20"/>
              </w:rPr>
              <w:t xml:space="preserve">Input on the FastAPI + Supabase stack, cloud hosting strategy, and how to structure the backend for scale without over-engineering at MVP stage.</w:t>
            </w:r>
          </w:p>
        </w:tc>
      </w:tr>
      <w:tr>
        <w:tc>
          <w:tcPr>
            <w:tcW w:type="dxa" w:w="2200"/>
            <w:tcBorders>
              <w:top w:val="single" w:color="DDDDDD" w:sz="1"/>
              <w:left w:val="single" w:color="DDDDDD" w:sz="1"/>
              <w:bottom w:val="single" w:color="DDDDDD" w:sz="1"/>
              <w:right w:val="single" w:color="DDDDDD" w:sz="1"/>
            </w:tcBorders>
            <w:shd w:fill="FDF5E2" w:val="clear"/>
            <w:tcMar>
              <w:top w:type="dxa" w:w="120"/>
              <w:left w:type="dxa" w:w="160"/>
              <w:bottom w:type="dxa" w:w="120"/>
              <w:right w:type="dxa" w:w="160"/>
            </w:tcMar>
            <w:vAlign w:val="top"/>
          </w:tcPr>
          <w:p>
            <w:r>
              <w:rPr>
                <w:rFonts w:ascii="Arial" w:cs="Arial" w:eastAsia="Arial" w:hAnsi="Arial"/>
                <w:b/>
                <w:bCs/>
                <w:color w:val="B8922A"/>
                <w:sz w:val="20"/>
                <w:szCs w:val="20"/>
              </w:rPr>
              <w:t xml:space="preserve">Technical hiring</w:t>
            </w:r>
          </w:p>
        </w:tc>
        <w:tc>
          <w:tcPr>
            <w:tcW w:type="dxa" w:w="7160"/>
            <w:tcBorders>
              <w:top w:val="single" w:color="DDDDDD" w:sz="1"/>
              <w:left w:val="single" w:color="DDDDDD" w:sz="1"/>
              <w:bottom w:val="single" w:color="DDDDDD" w:sz="1"/>
              <w:right w:val="single" w:color="DDDDDD" w:sz="1"/>
            </w:tcBorders>
            <w:shd w:fill="FFFFFF" w:val="clear"/>
            <w:tcMar>
              <w:top w:type="dxa" w:w="120"/>
              <w:left w:type="dxa" w:w="180"/>
              <w:bottom w:type="dxa" w:w="120"/>
              <w:right w:type="dxa" w:w="180"/>
            </w:tcMar>
          </w:tcPr>
          <w:p>
            <w:r>
              <w:rPr>
                <w:rFonts w:ascii="Arial" w:cs="Arial" w:eastAsia="Arial" w:hAnsi="Arial"/>
                <w:color w:val="444444"/>
                <w:sz w:val="20"/>
                <w:szCs w:val="20"/>
              </w:rPr>
              <w:t xml:space="preserve">Help finding and vetting a Python/FastAPI developer or technical co-founder. This is the most critical near-term unlock. Budget: $3–8K freelance or equity for a co-founder.</w:t>
            </w:r>
          </w:p>
        </w:tc>
      </w:tr>
      <w:tr>
        <w:tc>
          <w:tcPr>
            <w:tcW w:type="dxa" w:w="2200"/>
            <w:tcBorders>
              <w:top w:val="single" w:color="DDDDDD" w:sz="1"/>
              <w:left w:val="single" w:color="DDDDDD" w:sz="1"/>
              <w:bottom w:val="single" w:color="DDDDDD" w:sz="1"/>
              <w:right w:val="single" w:color="DDDDDD" w:sz="1"/>
            </w:tcBorders>
            <w:shd w:fill="FDF5E2" w:val="clear"/>
            <w:tcMar>
              <w:top w:type="dxa" w:w="120"/>
              <w:left w:type="dxa" w:w="160"/>
              <w:bottom w:type="dxa" w:w="120"/>
              <w:right w:type="dxa" w:w="160"/>
            </w:tcMar>
            <w:vAlign w:val="top"/>
          </w:tcPr>
          <w:p>
            <w:r>
              <w:rPr>
                <w:rFonts w:ascii="Arial" w:cs="Arial" w:eastAsia="Arial" w:hAnsi="Arial"/>
                <w:b/>
                <w:bCs/>
                <w:color w:val="B8922A"/>
                <w:sz w:val="20"/>
                <w:szCs w:val="20"/>
              </w:rPr>
              <w:t xml:space="preserve">Go-to-market strategy</w:t>
            </w:r>
          </w:p>
        </w:tc>
        <w:tc>
          <w:tcPr>
            <w:tcW w:type="dxa" w:w="7160"/>
            <w:tcBorders>
              <w:top w:val="single" w:color="DDDDDD" w:sz="1"/>
              <w:left w:val="single" w:color="DDDDDD" w:sz="1"/>
              <w:bottom w:val="single" w:color="DDDDDD" w:sz="1"/>
              <w:right w:val="single" w:color="DDDDDD" w:sz="1"/>
            </w:tcBorders>
            <w:shd w:fill="FFFFFF" w:val="clear"/>
            <w:tcMar>
              <w:top w:type="dxa" w:w="120"/>
              <w:left w:type="dxa" w:w="180"/>
              <w:bottom w:type="dxa" w:w="120"/>
              <w:right w:type="dxa" w:w="180"/>
            </w:tcMar>
          </w:tcPr>
          <w:p>
            <w:r>
              <w:rPr>
                <w:rFonts w:ascii="Arial" w:cs="Arial" w:eastAsia="Arial" w:hAnsi="Arial"/>
                <w:color w:val="444444"/>
                <w:sz w:val="20"/>
                <w:szCs w:val="20"/>
              </w:rPr>
              <w:t xml:space="preserve">Input on B2B SaaS pricing, pilot structure, and how to sequence dealer outreach vs. product development. What does a Series A-ready traction story look like for vertical AI SaaS at this stage?</w:t>
            </w:r>
          </w:p>
        </w:tc>
      </w:tr>
      <w:tr>
        <w:tc>
          <w:tcPr>
            <w:tcW w:type="dxa" w:w="2200"/>
            <w:tcBorders>
              <w:top w:val="single" w:color="DDDDDD" w:sz="1"/>
              <w:left w:val="single" w:color="DDDDDD" w:sz="1"/>
              <w:bottom w:val="single" w:color="DDDDDD" w:sz="1"/>
              <w:right w:val="single" w:color="DDDDDD" w:sz="1"/>
            </w:tcBorders>
            <w:shd w:fill="FDF5E2" w:val="clear"/>
            <w:tcMar>
              <w:top w:type="dxa" w:w="120"/>
              <w:left w:type="dxa" w:w="160"/>
              <w:bottom w:type="dxa" w:w="120"/>
              <w:right w:type="dxa" w:w="160"/>
            </w:tcMar>
            <w:vAlign w:val="top"/>
          </w:tcPr>
          <w:p>
            <w:r>
              <w:rPr>
                <w:rFonts w:ascii="Arial" w:cs="Arial" w:eastAsia="Arial" w:hAnsi="Arial"/>
                <w:b/>
                <w:bCs/>
                <w:color w:val="B8922A"/>
                <w:sz w:val="20"/>
                <w:szCs w:val="20"/>
              </w:rPr>
              <w:t xml:space="preserve">Investor network</w:t>
            </w:r>
          </w:p>
        </w:tc>
        <w:tc>
          <w:tcPr>
            <w:tcW w:type="dxa" w:w="7160"/>
            <w:tcBorders>
              <w:top w:val="single" w:color="DDDDDD" w:sz="1"/>
              <w:left w:val="single" w:color="DDDDDD" w:sz="1"/>
              <w:bottom w:val="single" w:color="DDDDDD" w:sz="1"/>
              <w:right w:val="single" w:color="DDDDDD" w:sz="1"/>
            </w:tcBorders>
            <w:shd w:fill="FFFFFF" w:val="clear"/>
            <w:tcMar>
              <w:top w:type="dxa" w:w="120"/>
              <w:left w:type="dxa" w:w="180"/>
              <w:bottom w:type="dxa" w:w="120"/>
              <w:right w:type="dxa" w:w="180"/>
            </w:tcMar>
          </w:tcPr>
          <w:p>
            <w:r>
              <w:rPr>
                <w:rFonts w:ascii="Arial" w:cs="Arial" w:eastAsia="Arial" w:hAnsi="Arial"/>
                <w:color w:val="444444"/>
                <w:sz w:val="20"/>
                <w:szCs w:val="20"/>
              </w:rPr>
              <w:t xml:space="preserve">When the time is right — post-pilot, post-revenue — introductions to seed-stage investors with vertical SaaS or AI infrastructure experience.</w:t>
            </w:r>
          </w:p>
        </w:tc>
      </w:tr>
      <w:tr>
        <w:tc>
          <w:tcPr>
            <w:tcW w:type="dxa" w:w="2200"/>
            <w:tcBorders>
              <w:top w:val="single" w:color="DDDDDD" w:sz="1"/>
              <w:left w:val="single" w:color="DDDDDD" w:sz="1"/>
              <w:bottom w:val="single" w:color="DDDDDD" w:sz="1"/>
              <w:right w:val="single" w:color="DDDDDD" w:sz="1"/>
            </w:tcBorders>
            <w:shd w:fill="FDF5E2" w:val="clear"/>
            <w:tcMar>
              <w:top w:type="dxa" w:w="120"/>
              <w:left w:type="dxa" w:w="160"/>
              <w:bottom w:type="dxa" w:w="120"/>
              <w:right w:type="dxa" w:w="160"/>
            </w:tcMar>
            <w:vAlign w:val="top"/>
          </w:tcPr>
          <w:p>
            <w:r>
              <w:rPr>
                <w:rFonts w:ascii="Arial" w:cs="Arial" w:eastAsia="Arial" w:hAnsi="Arial"/>
                <w:b/>
                <w:bCs/>
                <w:color w:val="B8922A"/>
                <w:sz w:val="20"/>
                <w:szCs w:val="20"/>
              </w:rPr>
              <w:t xml:space="preserve">Honest challenge</w:t>
            </w:r>
          </w:p>
        </w:tc>
        <w:tc>
          <w:tcPr>
            <w:tcW w:type="dxa" w:w="7160"/>
            <w:tcBorders>
              <w:top w:val="single" w:color="DDDDDD" w:sz="1"/>
              <w:left w:val="single" w:color="DDDDDD" w:sz="1"/>
              <w:bottom w:val="single" w:color="DDDDDD" w:sz="1"/>
              <w:right w:val="single" w:color="DDDDDD" w:sz="1"/>
            </w:tcBorders>
            <w:shd w:fill="FFFFFF" w:val="clear"/>
            <w:tcMar>
              <w:top w:type="dxa" w:w="120"/>
              <w:left w:type="dxa" w:w="180"/>
              <w:bottom w:type="dxa" w:w="120"/>
              <w:right w:type="dxa" w:w="180"/>
            </w:tcMar>
          </w:tcPr>
          <w:p>
            <w:r>
              <w:rPr>
                <w:rFonts w:ascii="Arial" w:cs="Arial" w:eastAsia="Arial" w:hAnsi="Arial"/>
                <w:color w:val="444444"/>
                <w:sz w:val="20"/>
                <w:szCs w:val="20"/>
              </w:rPr>
              <w:t xml:space="preserve">Stress-test our assumptions. The domain knowledge and product intuition are strong. We need a serial entrepreneur's lens on what we are not seeing: blind spots, comparable journeys, pitfalls to avoid.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922A" w:sz="6"/>
              <w:left w:val="none" w:color="FFFFFF" w:sz="0"/>
              <w:bottom w:val="single" w:color="B8922A" w:sz="6"/>
              <w:right w:val="none" w:color="FFFFFF" w:sz="0"/>
            </w:tcBorders>
            <w:shd w:fill="FDF5E2" w:val="clear"/>
            <w:tcMar>
              <w:top w:type="dxa" w:w="200"/>
              <w:left w:type="dxa" w:w="240"/>
              <w:bottom w:type="dxa" w:w="200"/>
              <w:right w:type="dxa" w:w="240"/>
            </w:tcMar>
          </w:tcPr>
          <w:p>
            <w:pPr>
              <w:spacing w:after="100"/>
            </w:pPr>
            <w:r>
              <w:rPr>
                <w:rFonts w:ascii="Arial" w:cs="Arial" w:eastAsia="Arial" w:hAnsi="Arial"/>
                <w:i/>
                <w:iCs/>
                <w:color w:val="444444"/>
                <w:sz w:val="22"/>
                <w:szCs w:val="22"/>
              </w:rPr>
              <w:t xml:space="preserve">CoinFalcon is not a side project or a demo. It is a working product with real technology, a clear market, and a defensible position in a category nobody has built for.</w:t>
            </w:r>
          </w:p>
          <w:p>
            <w:pPr>
              <w:spacing w:after="0"/>
            </w:pPr>
            <w:r>
              <w:rPr>
                <w:rFonts w:ascii="Arial" w:cs="Arial" w:eastAsia="Arial" w:hAnsi="Arial"/>
                <w:b/>
                <w:bCs/>
                <w:color w:val="1A1A1A"/>
                <w:sz w:val="22"/>
                <w:szCs w:val="22"/>
              </w:rPr>
              <w:t xml:space="preserve">The question is not whether this market needs CoinFalcon — it demonstrably does. The question is how fast we can build what we already know how to build.</w:t>
            </w:r>
          </w:p>
        </w:tc>
      </w:tr>
    </w:tbl>
    <w:p>
      <w:pPr>
        <w:spacing w:after="80"/>
      </w:pPr>
    </w:p>
    <w:p>
      <w:pPr>
        <w:spacing w:after="0"/>
        <w:jc w:val="center"/>
      </w:pPr>
      <w:r>
        <w:rPr>
          <w:rFonts w:ascii="Arial" w:cs="Arial" w:eastAsia="Arial" w:hAnsi="Arial"/>
          <w:color w:val="888888"/>
          <w:sz w:val="18"/>
          <w:szCs w:val="18"/>
        </w:rPr>
        <w:t xml:space="preserve">Denis Petrov  ·  CoinFalcon  ·  Confidential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pBdr>
      <w:tabs>
        <w:tab w:val="right" w:pos="9026"/>
      </w:tabs>
      <w:spacing w:after="0" w:before="0"/>
    </w:pPr>
    <w:r>
      <w:rPr>
        <w:rFonts w:ascii="Arial" w:cs="Arial" w:eastAsia="Arial" w:hAnsi="Arial"/>
        <w:color w:val="888888"/>
        <w:sz w:val="16"/>
        <w:szCs w:val="16"/>
      </w:rPr>
      <w:t xml:space="preserve">Denis Petrov  ·  CoinFalcon  ·  Not for distribution</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22A" w:sz="3"/>
      </w:pBdr>
      <w:tabs>
        <w:tab w:val="right" w:pos="9026"/>
      </w:tabs>
      <w:spacing w:after="0"/>
    </w:pPr>
    <w:r>
      <w:rPr>
        <w:rFonts w:ascii="Arial" w:cs="Arial" w:eastAsia="Arial" w:hAnsi="Arial"/>
        <w:b/>
        <w:bCs/>
        <w:color w:val="B8922A"/>
        <w:sz w:val="18"/>
        <w:szCs w:val="18"/>
      </w:rPr>
      <w:t xml:space="preserve">CoinFalcon — Strategic Brief</w:t>
    </w:r>
    <w:r>
      <w:rPr>
        <w:rFonts w:ascii="Arial" w:cs="Arial" w:eastAsia="Arial" w:hAnsi="Arial"/>
        <w:sz w:val="18"/>
        <w:szCs w:val="18"/>
      </w:rPr>
      <w:t xml:space="preserve">	</w:t>
    </w:r>
    <w:r>
      <w:rPr>
        <w:rFonts w:ascii="Arial" w:cs="Arial" w:eastAsia="Arial" w:hAnsi="Arial"/>
        <w:color w:val="888888"/>
        <w:sz w:val="18"/>
        <w:szCs w:val="18"/>
      </w:rPr>
      <w:t xml:space="preserve">Confidential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1A1A"/>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2026-06-06T15:14:26.893Z</dcterms:created>
  <dcterms:modified xsi:type="dcterms:W3CDTF">2026-06-06T15:14:26.893Z</dcterms:modified>
</cp:coreProperties>
</file>

<file path=docProps/custom.xml><?xml version="1.0" encoding="utf-8"?>
<Properties xmlns="http://schemas.openxmlformats.org/officeDocument/2006/custom-properties" xmlns:vt="http://schemas.openxmlformats.org/officeDocument/2006/docPropsVTypes"/>
</file>