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ДОГОВОР НА РАЗРАБОТКУ ПРОГРАММНОГО ОБЕСПЕЧЕНИЯ № ПО-01/2025</w:t>
      </w:r>
    </w:p>
    <w:p>
      <w:pPr>
        <w:spacing w:before="0" w:after="240"/>
        <w:jc w:val="center"/>
      </w:pPr>
      <w:r>
        <w:rPr>
          <w:sz w:val="22"/>
        </w:rPr>
        <w:t>г. Москва                                                           1 января 2025 г.</w:t>
      </w:r>
    </w:p>
    <w:p>
      <w:pPr>
        <w:spacing w:before="160" w:after="80"/>
      </w:pPr>
      <w:r>
        <w:rPr>
          <w:b/>
          <w:sz w:val="24"/>
        </w:rPr>
        <w:t>1. СТОРОНЫ ДОГОВОРА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«МедиаГруп», ИНН 7715678901, ОГРН 1177715056789, юридический адрес: 127015, г. Москва, ул. Новодмитровская, д. 5А, стр. 3, именуемое «Заказчик», в лице генерального директора Волковой Ирины Геннадьевны, действующей на основании Устава, с одной стороны, и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«СофтДев Студио», ИНН 7716789012, юридический адрес: 115093, г. Москва, 2-й Павловский пер., д. 11, стр. 1, именуемое «Исполнитель», в лице генерального директора Громова Максима Олеговича, действующего на основании Устава, с другой стороны, заключили настоящий Договор:</w:t>
      </w:r>
    </w:p>
    <w:p>
      <w:pPr>
        <w:spacing w:before="160" w:after="80"/>
      </w:pPr>
      <w:r>
        <w:rPr>
          <w:b/>
          <w:sz w:val="24"/>
        </w:rPr>
        <w:t>2. ПРЕДМЕТ ДОГОВОРА</w:t>
      </w:r>
    </w:p>
    <w:p>
      <w:pPr>
        <w:spacing w:before="0" w:after="60"/>
        <w:jc w:val="both"/>
      </w:pPr>
      <w:r>
        <w:rPr>
          <w:sz w:val="22"/>
        </w:rPr>
        <w:t>2.1. Исполнитель обязуется разработать программное обеспечение для автоматизации редакционных процессов Заказчика (далее — «ПО») в соответствии с Техническим заданием (Приложение № 1), а Заказчик обязуется принять и оплатить выполненные работы.</w:t>
      </w:r>
    </w:p>
    <w:p>
      <w:pPr>
        <w:spacing w:before="0" w:after="60"/>
        <w:jc w:val="both"/>
      </w:pPr>
      <w:r>
        <w:rPr>
          <w:sz w:val="22"/>
        </w:rPr>
        <w:t>2.2. В состав работ входят: анализ и проектирование системы; разработка backend и frontend компонентов; интеграция с существующими системами Заказчика; тестирование и отладка; развёртывание на серверах Заказчика; обучение сотрудников.</w:t>
      </w:r>
    </w:p>
    <w:p>
      <w:pPr>
        <w:spacing w:before="0" w:after="60"/>
        <w:jc w:val="both"/>
      </w:pPr>
      <w:r>
        <w:rPr>
          <w:sz w:val="22"/>
        </w:rPr>
        <w:t>2.3. Срок разработки: 5 (пять) месяцев с 01.01.2025 по 31.05.2025.</w:t>
      </w:r>
    </w:p>
    <w:p>
      <w:pPr>
        <w:spacing w:before="160" w:after="80"/>
      </w:pPr>
      <w:r>
        <w:rPr>
          <w:b/>
          <w:sz w:val="24"/>
        </w:rPr>
        <w:t>3. ЦЕНА И ПОРЯДОК ОПЛАТЫ</w:t>
      </w:r>
    </w:p>
    <w:p>
      <w:pPr>
        <w:spacing w:before="0" w:after="60"/>
        <w:jc w:val="both"/>
      </w:pPr>
      <w:r>
        <w:rPr>
          <w:sz w:val="22"/>
        </w:rPr>
        <w:t>3.1. Общая стоимость разработки составляет 240 000 (двести сорок тысяч) рублей, включая НДС 20%.</w:t>
      </w:r>
    </w:p>
    <w:p>
      <w:pPr>
        <w:spacing w:before="0" w:after="60"/>
        <w:jc w:val="both"/>
      </w:pPr>
      <w:r>
        <w:rPr>
          <w:sz w:val="22"/>
        </w:rPr>
        <w:t>3.2. Оплата производится поэтапно согласно Плану работ (Приложение № 2): аванс 30% (72 000 руб.) при подписании; 30% (72 000 руб.) по итогам 2-го этапа; 40% (96 000 руб.) при финальной приёмке.</w:t>
      </w:r>
    </w:p>
    <w:p>
      <w:pPr>
        <w:spacing w:before="0" w:after="60"/>
        <w:jc w:val="both"/>
      </w:pPr>
      <w:r>
        <w:rPr>
          <w:sz w:val="22"/>
        </w:rPr>
        <w:t>3.3. Каждый этап принимается на основании акта сдачи-приёмки работ, подписываемого Сторонами.</w:t>
      </w:r>
    </w:p>
    <w:p>
      <w:pPr>
        <w:spacing w:before="160" w:after="80"/>
      </w:pPr>
      <w:r>
        <w:rPr>
          <w:b/>
          <w:sz w:val="24"/>
        </w:rPr>
        <w:t>4. ПРАВА НА РЕЗУЛЬТАТЫ РАБОТ</w:t>
      </w:r>
    </w:p>
    <w:p>
      <w:pPr>
        <w:spacing w:before="0" w:after="60"/>
        <w:jc w:val="both"/>
      </w:pPr>
      <w:r>
        <w:rPr>
          <w:sz w:val="22"/>
        </w:rPr>
        <w:t>4.1. С момента окончательной оплаты исключительные права на разработанное ПО переходят к Заказчику в полном объёме.</w:t>
      </w:r>
    </w:p>
    <w:p>
      <w:pPr>
        <w:spacing w:before="0" w:after="60"/>
        <w:jc w:val="both"/>
      </w:pPr>
      <w:r>
        <w:rPr>
          <w:sz w:val="22"/>
        </w:rPr>
        <w:t>4.2. Исполнитель сохраняет право использовать разработанные технологии и методологии в иных проектах при условии неразглашения конфиденциальной информации Заказчика.</w:t>
      </w:r>
    </w:p>
    <w:p>
      <w:pPr>
        <w:spacing w:before="0" w:after="60"/>
        <w:jc w:val="both"/>
      </w:pPr>
      <w:r>
        <w:rPr>
          <w:sz w:val="22"/>
        </w:rPr>
        <w:t>4.3. Исполнитель гарантирует, что разработанное ПО является оригинальным произведением и не нарушает права третьих лиц.</w:t>
      </w:r>
    </w:p>
    <w:p>
      <w:pPr>
        <w:spacing w:before="160" w:after="80"/>
      </w:pPr>
      <w:r>
        <w:rPr>
          <w:b/>
          <w:sz w:val="24"/>
        </w:rPr>
        <w:t>5. ГАРАНТИЙНОЕ ОБСЛУЖИВАНИЕ</w:t>
      </w:r>
    </w:p>
    <w:p>
      <w:pPr>
        <w:spacing w:before="0" w:after="60"/>
        <w:jc w:val="both"/>
      </w:pPr>
      <w:r>
        <w:rPr>
          <w:sz w:val="22"/>
        </w:rPr>
        <w:t>5.1. Исполнитель предоставляет гарантийное обслуживание ПО в течение 6 (шести) месяцев после финальной приёмки.</w:t>
      </w:r>
    </w:p>
    <w:p>
      <w:pPr>
        <w:spacing w:before="0" w:after="60"/>
        <w:jc w:val="both"/>
      </w:pPr>
      <w:r>
        <w:rPr>
          <w:sz w:val="22"/>
        </w:rPr>
        <w:t>5.2. В период гарантийного обслуживания Исполнитель устраняет выявленные дефекты в течение 5 рабочих дней с момента получения уведомления.</w:t>
      </w:r>
    </w:p>
    <w:p>
      <w:pPr>
        <w:spacing w:before="160" w:after="80"/>
      </w:pPr>
      <w:r>
        <w:rPr>
          <w:b/>
          <w:sz w:val="24"/>
        </w:rPr>
        <w:t>6. КОНФИДЕНЦИАЛЬНОСТЬ</w:t>
      </w:r>
    </w:p>
    <w:p>
      <w:pPr>
        <w:spacing w:before="0" w:after="60"/>
        <w:jc w:val="both"/>
      </w:pPr>
      <w:r>
        <w:rPr>
          <w:sz w:val="22"/>
        </w:rPr>
        <w:t>6.1. Стороны обязуются не разглашать конфиденциальную информацию, полученную в ходе исполнения Договора, в течение 3 лет после его прекращения.</w:t>
      </w:r>
    </w:p>
    <w:p>
      <w:pPr>
        <w:spacing w:before="160" w:after="80"/>
      </w:pPr>
      <w:r>
        <w:rPr>
          <w:b/>
          <w:sz w:val="24"/>
        </w:rPr>
        <w:t>7. ЗАКЛЮЧИТЕЛЬНЫЕ ПОЛОЖЕНИЯ</w:t>
      </w:r>
    </w:p>
    <w:p>
      <w:pPr>
        <w:spacing w:before="0" w:after="60"/>
        <w:jc w:val="both"/>
      </w:pPr>
      <w:r>
        <w:rPr>
          <w:sz w:val="22"/>
        </w:rPr>
        <w:t>7.1. Споры разрешаются в Арбитражном суде г. Москвы.</w:t>
      </w:r>
    </w:p>
    <w:p>
      <w:pPr>
        <w:spacing w:before="0" w:after="60"/>
        <w:jc w:val="both"/>
      </w:pPr>
      <w:r>
        <w:rPr>
          <w:sz w:val="22"/>
        </w:rPr>
        <w:t>7.2. Договор составлен в 2 экземплярах.</w:t>
      </w:r>
    </w:p>
    <w:p/>
    <w:p>
      <w:pPr>
        <w:spacing w:before="160" w:after="80"/>
      </w:pPr>
      <w:r>
        <w:rPr>
          <w:b/>
          <w:sz w:val="24"/>
        </w:rPr>
        <w:t>7.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ЗАКАЗЧИК:</w:t>
            </w:r>
          </w:p>
          <w:p>
            <w:r>
              <w:rPr>
                <w:sz w:val="22"/>
              </w:rPr>
              <w:t>ООО «МедиаГруп»</w:t>
              <w:br/>
              <w:t>Волкова И.Г.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  <w:tc>
          <w:tcPr>
            <w:tcW w:type="dxa" w:w="4986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ИСПОЛНИТЕЛЬ:</w:t>
            </w:r>
          </w:p>
          <w:p>
            <w:r>
              <w:rPr>
                <w:sz w:val="22"/>
              </w:rPr>
              <w:t>ООО «СофтДев Студио»</w:t>
              <w:br/>
              <w:t>Громов М.О.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