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b/>
          <w:sz w:val="28"/>
        </w:rPr>
        <w:t>СОГЛАШЕНИЕ О КОНФИДЕНЦИАЛЬНОСТИ И НЕРАЗГЛАШЕНИИ ИНФОРМАЦИИ № NDA-02/2025</w:t>
      </w:r>
    </w:p>
    <w:p>
      <w:pPr>
        <w:spacing w:before="0" w:after="240"/>
        <w:jc w:val="center"/>
      </w:pPr>
      <w:r>
        <w:rPr>
          <w:sz w:val="22"/>
        </w:rPr>
        <w:t>г. Москва                                                           1 февраля 2025 г.</w:t>
      </w:r>
    </w:p>
    <w:p>
      <w:pPr>
        <w:spacing w:before="160" w:after="80"/>
      </w:pPr>
      <w:r>
        <w:rPr>
          <w:b/>
          <w:sz w:val="24"/>
        </w:rPr>
        <w:t>1. СТОРОНЫ СОГЛАШЕНИЯ</w:t>
      </w:r>
    </w:p>
    <w:p>
      <w:pPr>
        <w:spacing w:before="0" w:after="80"/>
        <w:jc w:val="both"/>
      </w:pPr>
      <w:r>
        <w:rPr>
          <w:sz w:val="22"/>
        </w:rPr>
        <w:t>Общество с ограниченной ответственностью «ТехПартнёр», ИНН 7709012345, ОГРН 1157709023456, юридический адрес: 121099, г. Москва, ул. Новый Арбат, д. 19, именуемое «Сторона-1», в лице генерального директора Соловьёва Алексея Дмитриевича, действующего на основании Устава, и</w:t>
      </w:r>
    </w:p>
    <w:p>
      <w:pPr>
        <w:spacing w:before="0" w:after="80"/>
        <w:jc w:val="both"/>
      </w:pPr>
      <w:r>
        <w:rPr>
          <w:sz w:val="22"/>
        </w:rPr>
        <w:t>Общество с ограниченной ответственностью «Аналитика и Данные», ИНН 7710123456, юридический адрес: 115054, г. Москва, ул. Дубининская, д. 57, стр. 2, именуемое «Сторона-2», в лице генерального директора Титовой Екатерины Александровны, действующей на основании Устава, совместно именуемые «Стороны», заключили настоящее Соглашение:</w:t>
      </w:r>
    </w:p>
    <w:p>
      <w:pPr>
        <w:spacing w:before="160" w:after="80"/>
      </w:pPr>
      <w:r>
        <w:rPr>
          <w:b/>
          <w:sz w:val="24"/>
        </w:rPr>
        <w:t>2. ОПРЕДЕЛЕНИЯ</w:t>
      </w:r>
    </w:p>
    <w:p>
      <w:pPr>
        <w:spacing w:before="0" w:after="60"/>
        <w:jc w:val="both"/>
      </w:pPr>
      <w:r>
        <w:rPr>
          <w:sz w:val="22"/>
        </w:rPr>
        <w:t>2.1. «Конфиденциальная информация» — любые сведения, передаваемые одной Стороной другой Стороне в письменной, электронной или устной форме, включая технические данные, бизнес-планы, финансовую информацию, сведения о клиентах и партнёрах, программный код, алгоритмы и методологии, независимо от носителя передачи.</w:t>
      </w:r>
    </w:p>
    <w:p>
      <w:pPr>
        <w:spacing w:before="0" w:after="60"/>
        <w:jc w:val="both"/>
      </w:pPr>
      <w:r>
        <w:rPr>
          <w:sz w:val="22"/>
        </w:rPr>
        <w:t>2.2. Конфиденциальная информация не включает сведения, которые стали общедоступными не по вине получающей Стороны, были известны получающей Стороне до их раскрытия, или получены от третьих лиц без нарушения обязательств о конфиденциальности.</w:t>
      </w:r>
    </w:p>
    <w:p>
      <w:pPr>
        <w:spacing w:before="160" w:after="80"/>
      </w:pPr>
      <w:r>
        <w:rPr>
          <w:b/>
          <w:sz w:val="24"/>
        </w:rPr>
        <w:t>3. ОБЯЗАТЕЛЬСТВА СТОРОН</w:t>
      </w:r>
    </w:p>
    <w:p>
      <w:pPr>
        <w:spacing w:before="0" w:after="60"/>
        <w:jc w:val="both"/>
      </w:pPr>
      <w:r>
        <w:rPr>
          <w:sz w:val="22"/>
        </w:rPr>
        <w:t>3.1. Каждая Сторона обязуется: хранить в тайне полученную Конфиденциальную информацию; не раскрывать её третьим лицам без предварительного письменного согласия другой Стороны; использовать Конфиденциальную информацию исключительно в целях, предусмотренных совместным проектом Сторон.</w:t>
      </w:r>
    </w:p>
    <w:p>
      <w:pPr>
        <w:spacing w:before="0" w:after="60"/>
        <w:jc w:val="both"/>
      </w:pPr>
      <w:r>
        <w:rPr>
          <w:sz w:val="22"/>
        </w:rPr>
        <w:t>3.2. Стороны обязуются обеспечить соблюдение режима конфиденциальности своими работниками, имеющими доступ к Конфиденциальной информации, путём принятия соответствующих организационных и технических мер.</w:t>
      </w:r>
    </w:p>
    <w:p>
      <w:pPr>
        <w:spacing w:before="0" w:after="60"/>
        <w:jc w:val="both"/>
      </w:pPr>
      <w:r>
        <w:rPr>
          <w:sz w:val="22"/>
        </w:rPr>
        <w:t>3.3. Сторона вправе раскрыть Конфиденциальную информацию по требованию уполномоченных государственных органов, уведомив об этом другую Сторону в разумные сроки.</w:t>
      </w:r>
    </w:p>
    <w:p>
      <w:pPr>
        <w:spacing w:before="160" w:after="80"/>
      </w:pPr>
      <w:r>
        <w:rPr>
          <w:b/>
          <w:sz w:val="24"/>
        </w:rPr>
        <w:t>4. СРОК ДЕЙСТВИЯ СОГЛАШЕНИЯ</w:t>
      </w:r>
    </w:p>
    <w:p>
      <w:pPr>
        <w:spacing w:before="0" w:after="60"/>
        <w:jc w:val="both"/>
      </w:pPr>
      <w:r>
        <w:rPr>
          <w:sz w:val="22"/>
        </w:rPr>
        <w:t>4.1. Настоящее Соглашение вступает в силу с даты подписания и действует в течение 3 (трёх) лет.</w:t>
      </w:r>
    </w:p>
    <w:p>
      <w:pPr>
        <w:spacing w:before="0" w:after="60"/>
        <w:jc w:val="both"/>
      </w:pPr>
      <w:r>
        <w:rPr>
          <w:sz w:val="22"/>
        </w:rPr>
        <w:t>4.2. Обязательства по конфиденциальности сохраняются в течение 5 (пяти) лет после прекращения Соглашения.</w:t>
      </w:r>
    </w:p>
    <w:p>
      <w:pPr>
        <w:spacing w:before="160" w:after="80"/>
      </w:pPr>
      <w:r>
        <w:rPr>
          <w:b/>
          <w:sz w:val="24"/>
        </w:rPr>
        <w:t>5. ОТВЕТСТВЕННОСТЬ</w:t>
      </w:r>
    </w:p>
    <w:p>
      <w:pPr>
        <w:spacing w:before="0" w:after="60"/>
        <w:jc w:val="both"/>
      </w:pPr>
      <w:r>
        <w:rPr>
          <w:sz w:val="22"/>
        </w:rPr>
        <w:t>5.1. В случае нарушения условий настоящего Соглашения виновная Сторона обязана возместить другой Стороне все документально подтверждённые убытки, включая упущенную выгоду.</w:t>
      </w:r>
    </w:p>
    <w:p>
      <w:pPr>
        <w:spacing w:before="0" w:after="60"/>
        <w:jc w:val="both"/>
      </w:pPr>
      <w:r>
        <w:rPr>
          <w:sz w:val="22"/>
        </w:rPr>
        <w:t>5.2. Помимо возмещения убытков, нарушившая Сторона уплачивает штраф в размере 500 000 (пятисот тысяч) рублей за каждый факт нарушения.</w:t>
      </w:r>
    </w:p>
    <w:p>
      <w:pPr>
        <w:spacing w:before="160" w:after="80"/>
      </w:pPr>
      <w:r>
        <w:rPr>
          <w:b/>
          <w:sz w:val="24"/>
        </w:rPr>
        <w:t>6. ЗАКЛЮЧИТЕЛЬНЫЕ ПОЛОЖЕНИЯ</w:t>
      </w:r>
    </w:p>
    <w:p>
      <w:pPr>
        <w:spacing w:before="0" w:after="60"/>
        <w:jc w:val="both"/>
      </w:pPr>
      <w:r>
        <w:rPr>
          <w:sz w:val="22"/>
        </w:rPr>
        <w:t>6.1. Соглашение регулируется законодательством Российской Федерации.</w:t>
      </w:r>
    </w:p>
    <w:p>
      <w:pPr>
        <w:spacing w:before="0" w:after="60"/>
        <w:jc w:val="both"/>
      </w:pPr>
      <w:r>
        <w:rPr>
          <w:sz w:val="22"/>
        </w:rPr>
        <w:t>6.2. Споры разрешаются в Арбитражном суде г. Москвы.</w:t>
      </w:r>
    </w:p>
    <w:p>
      <w:pPr>
        <w:spacing w:before="0" w:after="60"/>
        <w:jc w:val="both"/>
      </w:pPr>
      <w:r>
        <w:rPr>
          <w:sz w:val="22"/>
        </w:rPr>
        <w:t>6.3. Соглашение составлено в 2 экземплярах.</w:t>
      </w:r>
    </w:p>
    <w:p/>
    <w:p>
      <w:pPr>
        <w:spacing w:before="160" w:after="80"/>
      </w:pPr>
      <w:r>
        <w:rPr>
          <w:b/>
          <w:sz w:val="24"/>
        </w:rPr>
        <w:t>7. 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tcBorders>
              <w:top w:val="none"/>
            </w:tcBorders>
            <w:tcBorders>
              <w:bottom w:val="none"/>
            </w:tcBorders>
            <w:tcBorders>
              <w:left w:val="none"/>
            </w:tcBorders>
            <w:tcBorders>
              <w:right w:val="none"/>
            </w:tcBorders>
          </w:tcPr>
          <w:p>
            <w:r>
              <w:rPr>
                <w:b/>
                <w:sz w:val="22"/>
              </w:rPr>
              <w:t>СТОРОНА-1:</w:t>
            </w:r>
          </w:p>
          <w:p>
            <w:r>
              <w:rPr>
                <w:sz w:val="22"/>
              </w:rPr>
              <w:t>ООО «ТехПартнёр»</w:t>
              <w:br/>
              <w:t>Соловьёв А.Д.</w:t>
            </w:r>
          </w:p>
          <w:p>
            <w:pPr>
              <w:spacing w:after="80"/>
            </w:pPr>
            <w:r>
              <w:rPr>
                <w:sz w:val="22"/>
              </w:rPr>
              <w:br/>
              <w:t>Подпись: _______________</w:t>
              <w:br/>
              <w:br/>
              <w:t>Дата: _______________</w:t>
            </w:r>
          </w:p>
          <w:p>
            <w:r>
              <w:rPr>
                <w:sz w:val="22"/>
              </w:rPr>
              <w:t>М.П.</w:t>
            </w:r>
          </w:p>
        </w:tc>
        <w:tc>
          <w:tcPr>
            <w:tcW w:type="dxa" w:w="4986"/>
            <w:tcBorders>
              <w:top w:val="none"/>
            </w:tcBorders>
            <w:tcBorders>
              <w:bottom w:val="none"/>
            </w:tcBorders>
            <w:tcBorders>
              <w:left w:val="none"/>
            </w:tcBorders>
            <w:tcBorders>
              <w:right w:val="none"/>
            </w:tcBorders>
          </w:tcPr>
          <w:p>
            <w:r>
              <w:rPr>
                <w:b/>
                <w:sz w:val="22"/>
              </w:rPr>
              <w:t>СТОРОНА-2:</w:t>
            </w:r>
          </w:p>
          <w:p>
            <w:r>
              <w:rPr>
                <w:sz w:val="22"/>
              </w:rPr>
              <w:t>ООО «Аналитика и Данные»</w:t>
              <w:br/>
              <w:t>Титова Е.А.</w:t>
            </w:r>
          </w:p>
          <w:p>
            <w:pPr>
              <w:spacing w:after="80"/>
            </w:pPr>
            <w:r>
              <w:rPr>
                <w:sz w:val="22"/>
              </w:rPr>
              <w:br/>
              <w:t>Подпись: _______________</w:t>
              <w:br/>
              <w:br/>
              <w:t>Дата: _______________</w:t>
            </w:r>
          </w:p>
          <w:p>
            <w:r>
              <w:rPr>
                <w:sz w:val="22"/>
              </w:rPr>
              <w:t>М.П.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