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22"/>
          <w:szCs w:val="22"/>
        </w:rPr>
      </w:pPr>
      <w:r>
        <w:rPr>
          <w:sz w:val="22"/>
          <w:szCs w:val="22"/>
        </w:rPr>
      </w:r>
    </w:p>
    <w:p>
      <w:pPr>
        <w:pStyle w:val="Heading"/>
        <w:rPr>
          <w:sz w:val="22"/>
          <w:szCs w:val="22"/>
        </w:rPr>
      </w:pPr>
      <w:r>
        <w:rPr>
          <w:sz w:val="22"/>
          <w:szCs w:val="22"/>
        </w:rPr>
        <w:t xml:space="preserve">АГЕНТСКИЙ ДОГОВОР №  </w:t>
      </w:r>
    </w:p>
    <w:p>
      <w:pPr>
        <w:pStyle w:val="Heading"/>
        <w:rPr>
          <w:sz w:val="22"/>
          <w:szCs w:val="22"/>
        </w:rPr>
      </w:pPr>
      <w:r>
        <w:rPr>
          <w:sz w:val="22"/>
          <w:szCs w:val="22"/>
        </w:rPr>
      </w:r>
    </w:p>
    <w:p>
      <w:pPr>
        <w:pStyle w:val="Normal"/>
        <w:jc w:val="center"/>
        <w:rPr/>
      </w:pPr>
      <w:r>
        <w:rPr>
          <w:sz w:val="22"/>
          <w:szCs w:val="22"/>
        </w:rPr>
        <w:t>г. ______________</w:t>
        <w:tab/>
        <w:tab/>
        <w:tab/>
        <w:tab/>
        <w:tab/>
        <w:t xml:space="preserve">                     «___» ________ 20__ года</w:t>
      </w:r>
    </w:p>
    <w:p>
      <w:pPr>
        <w:pStyle w:val="Normal"/>
        <w:ind w:firstLine="708" w:end="0"/>
        <w:jc w:val="both"/>
        <w:rPr>
          <w:b/>
          <w:bCs/>
          <w:sz w:val="22"/>
          <w:szCs w:val="22"/>
        </w:rPr>
      </w:pPr>
      <w:r>
        <w:rPr>
          <w:b/>
          <w:bCs/>
          <w:sz w:val="22"/>
          <w:szCs w:val="22"/>
        </w:rPr>
      </w:r>
    </w:p>
    <w:p>
      <w:pPr>
        <w:pStyle w:val="Normal"/>
        <w:ind w:firstLine="708" w:end="0"/>
        <w:jc w:val="both"/>
        <w:rPr/>
      </w:pPr>
      <w:r>
        <w:rPr>
          <w:b/>
          <w:bCs/>
          <w:sz w:val="22"/>
          <w:szCs w:val="22"/>
        </w:rPr>
        <w:t xml:space="preserve">____________________________________________ </w:t>
      </w:r>
      <w:r>
        <w:rPr>
          <w:sz w:val="22"/>
          <w:szCs w:val="22"/>
        </w:rPr>
        <w:t xml:space="preserve">именуемое в дальнейшем </w:t>
      </w:r>
      <w:r>
        <w:rPr>
          <w:b/>
        </w:rPr>
        <w:t>«Принципал»</w:t>
      </w:r>
      <w:r>
        <w:rPr>
          <w:sz w:val="22"/>
          <w:szCs w:val="22"/>
        </w:rPr>
        <w:t>, в лице __________________________,  действующего на основании _____________,</w:t>
      </w:r>
      <w:r>
        <w:rPr>
          <w:b/>
          <w:bCs/>
          <w:sz w:val="22"/>
          <w:szCs w:val="22"/>
        </w:rPr>
        <w:t xml:space="preserve"> </w:t>
      </w:r>
      <w:r>
        <w:rPr>
          <w:sz w:val="22"/>
          <w:szCs w:val="22"/>
        </w:rPr>
        <w:t>с одной стороны, и</w:t>
      </w:r>
    </w:p>
    <w:p>
      <w:pPr>
        <w:pStyle w:val="Normal"/>
        <w:ind w:firstLine="708" w:end="0"/>
        <w:jc w:val="both"/>
        <w:rPr/>
      </w:pPr>
      <w:r>
        <w:rPr>
          <w:sz w:val="22"/>
          <w:szCs w:val="22"/>
        </w:rPr>
        <w:t>___________________________________,</w:t>
      </w:r>
      <w:r>
        <w:rPr>
          <w:b/>
          <w:sz w:val="22"/>
          <w:szCs w:val="22"/>
        </w:rPr>
        <w:t xml:space="preserve"> </w:t>
      </w:r>
      <w:r>
        <w:rPr>
          <w:sz w:val="22"/>
          <w:szCs w:val="22"/>
        </w:rPr>
        <w:t xml:space="preserve"> именуемое в дальнейшем </w:t>
      </w:r>
      <w:r>
        <w:rPr>
          <w:b/>
          <w:sz w:val="22"/>
          <w:szCs w:val="22"/>
        </w:rPr>
        <w:t>«Агент»,</w:t>
      </w:r>
      <w:r>
        <w:rPr>
          <w:sz w:val="22"/>
          <w:szCs w:val="22"/>
        </w:rPr>
        <w:t xml:space="preserve"> в лице _______________________________, действующего на основании _______________, с другой стороны, а вместе именуемые </w:t>
      </w:r>
      <w:r>
        <w:rPr>
          <w:b/>
          <w:bCs/>
          <w:sz w:val="22"/>
          <w:szCs w:val="22"/>
        </w:rPr>
        <w:t>«Стороны»</w:t>
      </w:r>
      <w:r>
        <w:rPr>
          <w:sz w:val="22"/>
          <w:szCs w:val="22"/>
        </w:rPr>
        <w:t>, заключили настоящий договор (далее – настоящий Договор) о нижеследующем:</w:t>
      </w:r>
    </w:p>
    <w:p>
      <w:pPr>
        <w:pStyle w:val="Normal"/>
        <w:ind w:firstLine="708" w:end="0"/>
        <w:jc w:val="both"/>
        <w:rPr>
          <w:sz w:val="22"/>
          <w:szCs w:val="22"/>
        </w:rPr>
      </w:pPr>
      <w:r>
        <w:rPr>
          <w:sz w:val="22"/>
          <w:szCs w:val="22"/>
        </w:rPr>
      </w:r>
    </w:p>
    <w:p>
      <w:pPr>
        <w:pStyle w:val="Normal"/>
        <w:numPr>
          <w:ilvl w:val="0"/>
          <w:numId w:val="6"/>
        </w:numPr>
        <w:jc w:val="center"/>
        <w:rPr>
          <w:b/>
          <w:bCs/>
          <w:sz w:val="22"/>
          <w:szCs w:val="22"/>
        </w:rPr>
      </w:pPr>
      <w:r>
        <w:rPr>
          <w:b/>
          <w:bCs/>
          <w:sz w:val="22"/>
          <w:szCs w:val="22"/>
        </w:rPr>
        <w:t>ПРЕДМЕТ ДОГОВОРА</w:t>
      </w:r>
    </w:p>
    <w:p>
      <w:pPr>
        <w:pStyle w:val="BodyText"/>
        <w:numPr>
          <w:ilvl w:val="1"/>
          <w:numId w:val="5"/>
        </w:numPr>
        <w:tabs>
          <w:tab w:val="clear" w:pos="708"/>
          <w:tab w:val="left" w:pos="360" w:leader="none"/>
        </w:tabs>
        <w:ind w:hanging="360" w:start="360" w:end="0"/>
        <w:rPr>
          <w:sz w:val="22"/>
          <w:szCs w:val="22"/>
        </w:rPr>
      </w:pPr>
      <w:r>
        <w:rPr>
          <w:sz w:val="22"/>
          <w:szCs w:val="22"/>
        </w:rPr>
        <w:t xml:space="preserve">Согласно условиям настоящего Договора </w:t>
      </w:r>
      <w:r>
        <w:rPr/>
        <w:t xml:space="preserve">Принципал </w:t>
      </w:r>
      <w:r>
        <w:rPr>
          <w:sz w:val="22"/>
          <w:szCs w:val="22"/>
        </w:rPr>
        <w:t>предоставляет Агенту право осуществлять поиск и привлечение:</w:t>
      </w:r>
    </w:p>
    <w:p>
      <w:pPr>
        <w:pStyle w:val="BodyText"/>
        <w:numPr>
          <w:ilvl w:val="1"/>
          <w:numId w:val="2"/>
        </w:numPr>
        <w:tabs>
          <w:tab w:val="clear" w:pos="708"/>
          <w:tab w:val="left" w:pos="720" w:leader="none"/>
        </w:tabs>
        <w:ind w:hanging="360" w:start="720" w:end="0"/>
        <w:rPr>
          <w:sz w:val="22"/>
          <w:szCs w:val="22"/>
        </w:rPr>
      </w:pPr>
      <w:r>
        <w:rPr>
          <w:sz w:val="22"/>
          <w:szCs w:val="22"/>
        </w:rPr>
        <w:t xml:space="preserve">потенциальных покупателей, инвесторов (далее – «Клиент») к заключению с </w:t>
      </w:r>
      <w:r>
        <w:rPr/>
        <w:t>Принципалом</w:t>
      </w:r>
      <w:r>
        <w:rPr>
          <w:sz w:val="22"/>
          <w:szCs w:val="22"/>
        </w:rPr>
        <w:t xml:space="preserve"> предварительных договоров купли-продажи жилых помещений (далее – Квартира), встроенных нежилых помещений (далее – «Помещение»), инвестиционных договоров и договоров долевого участия в строительстве жилых домов (далее – «Объект»);</w:t>
      </w:r>
    </w:p>
    <w:p>
      <w:pPr>
        <w:pStyle w:val="BodyText"/>
        <w:numPr>
          <w:ilvl w:val="1"/>
          <w:numId w:val="2"/>
        </w:numPr>
        <w:tabs>
          <w:tab w:val="clear" w:pos="708"/>
          <w:tab w:val="left" w:pos="720" w:leader="none"/>
        </w:tabs>
        <w:ind w:hanging="360" w:start="720" w:end="0"/>
        <w:rPr>
          <w:sz w:val="22"/>
          <w:szCs w:val="22"/>
        </w:rPr>
      </w:pPr>
      <w:r>
        <w:rPr>
          <w:sz w:val="22"/>
          <w:szCs w:val="22"/>
        </w:rPr>
        <w:t>Клиентов к заключению договоров купли-продажи Квартир (Помещений) непосредственно с их собственниками (далее по тексту – Собственники);</w:t>
      </w:r>
    </w:p>
    <w:p>
      <w:pPr>
        <w:pStyle w:val="BodyText"/>
        <w:numPr>
          <w:ilvl w:val="1"/>
          <w:numId w:val="2"/>
        </w:numPr>
        <w:tabs>
          <w:tab w:val="clear" w:pos="708"/>
          <w:tab w:val="left" w:pos="720" w:leader="none"/>
        </w:tabs>
        <w:ind w:hanging="360" w:start="720" w:end="0"/>
        <w:rPr>
          <w:sz w:val="22"/>
          <w:szCs w:val="22"/>
        </w:rPr>
      </w:pPr>
      <w:r>
        <w:rPr>
          <w:sz w:val="22"/>
          <w:szCs w:val="22"/>
        </w:rPr>
        <w:t xml:space="preserve">лиц, заинтересованных в членстве (далее – «Пайщик») в Жилищно-строительном кооперативе (далее – ЖСК) с целью строительства Объектов, а также приобретения Квартир в Объектах и заключению договоров паенакопления, предусматривающих порядок выплаты Пайщиками паевых взносов и предоставления им взамен Квартир в строящихся Объектах. </w:t>
      </w:r>
    </w:p>
    <w:p>
      <w:pPr>
        <w:pStyle w:val="BodyText"/>
        <w:numPr>
          <w:ilvl w:val="1"/>
          <w:numId w:val="5"/>
        </w:numPr>
        <w:tabs>
          <w:tab w:val="clear" w:pos="708"/>
          <w:tab w:val="left" w:pos="360" w:leader="none"/>
          <w:tab w:val="left" w:pos="720" w:leader="none"/>
        </w:tabs>
        <w:ind w:hanging="360" w:start="360" w:end="0"/>
        <w:rPr>
          <w:sz w:val="22"/>
          <w:szCs w:val="22"/>
        </w:rPr>
      </w:pPr>
      <w:r>
        <w:rPr/>
        <w:t xml:space="preserve">Принципал </w:t>
      </w:r>
      <w:r>
        <w:rPr>
          <w:sz w:val="22"/>
          <w:szCs w:val="22"/>
        </w:rPr>
        <w:t>обязуется оплачивать Агенту вознаграждение в порядке и сроки, установленные настоящим Договором.</w:t>
      </w:r>
    </w:p>
    <w:p>
      <w:pPr>
        <w:pStyle w:val="BodyText"/>
        <w:numPr>
          <w:ilvl w:val="1"/>
          <w:numId w:val="5"/>
        </w:numPr>
        <w:tabs>
          <w:tab w:val="clear" w:pos="708"/>
          <w:tab w:val="left" w:pos="360" w:leader="none"/>
          <w:tab w:val="left" w:pos="720" w:leader="none"/>
        </w:tabs>
        <w:ind w:hanging="360" w:start="360" w:end="0"/>
        <w:rPr>
          <w:sz w:val="22"/>
          <w:szCs w:val="22"/>
        </w:rPr>
      </w:pPr>
      <w:r>
        <w:rPr/>
        <w:t xml:space="preserve">Принципал </w:t>
      </w:r>
      <w:r>
        <w:rPr>
          <w:sz w:val="22"/>
          <w:szCs w:val="22"/>
        </w:rPr>
        <w:t xml:space="preserve">гарантирует, что Квартиры (Помещения), подлежащие передаче Клиенту (Пайщику), свободны от прав третьих лиц, не находятся под арестом или в залоге. </w:t>
      </w:r>
      <w:r>
        <w:rPr/>
        <w:t xml:space="preserve">Принципал </w:t>
      </w:r>
      <w:r>
        <w:rPr>
          <w:sz w:val="22"/>
          <w:szCs w:val="22"/>
        </w:rPr>
        <w:t>также обязуется в дальнейшем не совершать действий, направленных на обременение прав на Квартиры (Помещения) правами третьих лиц.</w:t>
      </w:r>
    </w:p>
    <w:p>
      <w:pPr>
        <w:pStyle w:val="BodyText"/>
        <w:numPr>
          <w:ilvl w:val="1"/>
          <w:numId w:val="5"/>
        </w:numPr>
        <w:tabs>
          <w:tab w:val="clear" w:pos="708"/>
          <w:tab w:val="left" w:pos="360" w:leader="none"/>
          <w:tab w:val="left" w:pos="720" w:leader="none"/>
        </w:tabs>
        <w:ind w:hanging="360" w:start="360" w:end="0"/>
        <w:rPr>
          <w:sz w:val="22"/>
          <w:szCs w:val="22"/>
        </w:rPr>
      </w:pPr>
      <w:r>
        <w:rPr>
          <w:sz w:val="22"/>
          <w:szCs w:val="22"/>
        </w:rPr>
        <w:t xml:space="preserve">Агент не вправе совершать действия по заключению договоров, указанных в п. 1.1 настоящего Договора (далее - Договоры), а также иные сделки от имени и за счет </w:t>
      </w:r>
      <w:r>
        <w:rPr/>
        <w:t>Принципала</w:t>
      </w:r>
      <w:r>
        <w:rPr>
          <w:sz w:val="22"/>
          <w:szCs w:val="22"/>
        </w:rPr>
        <w:t>.</w:t>
      </w:r>
    </w:p>
    <w:p>
      <w:pPr>
        <w:pStyle w:val="Normal"/>
        <w:tabs>
          <w:tab w:val="clear" w:pos="708"/>
          <w:tab w:val="left" w:pos="720" w:leader="none"/>
        </w:tabs>
        <w:ind w:hanging="720" w:start="720" w:end="0"/>
        <w:jc w:val="both"/>
        <w:rPr>
          <w:sz w:val="22"/>
          <w:szCs w:val="22"/>
        </w:rPr>
      </w:pPr>
      <w:r>
        <w:rPr>
          <w:sz w:val="22"/>
          <w:szCs w:val="22"/>
        </w:rPr>
      </w:r>
    </w:p>
    <w:p>
      <w:pPr>
        <w:pStyle w:val="Normal"/>
        <w:numPr>
          <w:ilvl w:val="0"/>
          <w:numId w:val="6"/>
        </w:numPr>
        <w:tabs>
          <w:tab w:val="clear" w:pos="708"/>
          <w:tab w:val="left" w:pos="720" w:leader="none"/>
        </w:tabs>
        <w:ind w:hanging="720" w:start="720" w:end="0"/>
        <w:jc w:val="center"/>
        <w:rPr>
          <w:b/>
          <w:bCs/>
          <w:sz w:val="22"/>
          <w:szCs w:val="22"/>
        </w:rPr>
      </w:pPr>
      <w:r>
        <w:rPr>
          <w:b/>
          <w:bCs/>
          <w:sz w:val="22"/>
          <w:szCs w:val="22"/>
        </w:rPr>
        <w:t>ОБЯЗАННОСТИ СТОРОН</w:t>
      </w:r>
    </w:p>
    <w:p>
      <w:pPr>
        <w:pStyle w:val="Normal"/>
        <w:numPr>
          <w:ilvl w:val="1"/>
          <w:numId w:val="8"/>
        </w:numPr>
        <w:tabs>
          <w:tab w:val="clear" w:pos="708"/>
          <w:tab w:val="left" w:pos="720" w:leader="none"/>
          <w:tab w:val="left" w:pos="1428" w:leader="none"/>
        </w:tabs>
        <w:jc w:val="both"/>
        <w:rPr>
          <w:b/>
          <w:sz w:val="22"/>
          <w:szCs w:val="22"/>
        </w:rPr>
      </w:pPr>
      <w:r>
        <w:rPr>
          <w:b/>
          <w:bCs/>
          <w:sz w:val="22"/>
          <w:szCs w:val="22"/>
        </w:rPr>
        <w:t>Агент  обязуется:</w:t>
      </w:r>
    </w:p>
    <w:p>
      <w:pPr>
        <w:pStyle w:val="Normal"/>
        <w:numPr>
          <w:ilvl w:val="2"/>
          <w:numId w:val="8"/>
        </w:numPr>
        <w:tabs>
          <w:tab w:val="clear" w:pos="708"/>
          <w:tab w:val="left" w:pos="540" w:leader="none"/>
        </w:tabs>
        <w:ind w:hanging="540" w:start="540" w:end="0"/>
        <w:jc w:val="both"/>
        <w:rPr>
          <w:sz w:val="22"/>
          <w:szCs w:val="22"/>
        </w:rPr>
      </w:pPr>
      <w:r>
        <w:rPr>
          <w:sz w:val="22"/>
          <w:szCs w:val="22"/>
        </w:rPr>
        <w:t xml:space="preserve">Осуществлять поиск и привлечение Клиентов (Пайщиков) в течение срока действия настоящего Договора, предоставляя им информацию о Квартирах (Помещениях) Объектов и условиях их приобретения. </w:t>
      </w:r>
    </w:p>
    <w:p>
      <w:pPr>
        <w:pStyle w:val="Normal"/>
        <w:numPr>
          <w:ilvl w:val="2"/>
          <w:numId w:val="8"/>
        </w:numPr>
        <w:tabs>
          <w:tab w:val="clear" w:pos="708"/>
          <w:tab w:val="left" w:pos="540" w:leader="none"/>
        </w:tabs>
        <w:ind w:hanging="540" w:start="540" w:end="0"/>
        <w:jc w:val="both"/>
        <w:rPr>
          <w:sz w:val="22"/>
          <w:szCs w:val="22"/>
        </w:rPr>
      </w:pPr>
      <w:r>
        <w:rPr>
          <w:sz w:val="22"/>
          <w:szCs w:val="22"/>
        </w:rPr>
        <w:t>Проводить предварительные переговоры с потенциальными Клиентами (Пайщиками) с целью заключения ими Договоров.</w:t>
      </w:r>
    </w:p>
    <w:p>
      <w:pPr>
        <w:pStyle w:val="Normal"/>
        <w:numPr>
          <w:ilvl w:val="2"/>
          <w:numId w:val="8"/>
        </w:numPr>
        <w:tabs>
          <w:tab w:val="clear" w:pos="708"/>
          <w:tab w:val="left" w:pos="540" w:leader="none"/>
        </w:tabs>
        <w:ind w:hanging="540" w:start="540" w:end="0"/>
        <w:jc w:val="both"/>
        <w:rPr>
          <w:sz w:val="22"/>
          <w:szCs w:val="22"/>
        </w:rPr>
      </w:pPr>
      <w:r>
        <w:rPr>
          <w:sz w:val="22"/>
          <w:szCs w:val="22"/>
        </w:rPr>
        <w:t xml:space="preserve">Использовать в отношениях с Клиентами (Пайщиками) сведения (стоимость Квартир (Помещений), форма оплаты, порядок оплаты, размер первого авансового платежа, размеры вступительного, паевого, целевых, членских и иных взносов, перечень Квартир (Помещений), сроки окончания строительства и др.), предварительно подтвержденные </w:t>
      </w:r>
      <w:r>
        <w:rPr/>
        <w:t>Принципалом</w:t>
      </w:r>
      <w:r>
        <w:rPr>
          <w:sz w:val="22"/>
          <w:szCs w:val="22"/>
        </w:rPr>
        <w:t xml:space="preserve"> и соответствующие действительности в момент проведения переговоров.</w:t>
      </w:r>
    </w:p>
    <w:p>
      <w:pPr>
        <w:pStyle w:val="Normal"/>
        <w:numPr>
          <w:ilvl w:val="2"/>
          <w:numId w:val="8"/>
        </w:numPr>
        <w:tabs>
          <w:tab w:val="clear" w:pos="708"/>
          <w:tab w:val="left" w:pos="540" w:leader="none"/>
        </w:tabs>
        <w:ind w:hanging="540" w:start="540" w:end="0"/>
        <w:jc w:val="both"/>
        <w:rPr>
          <w:sz w:val="22"/>
          <w:szCs w:val="22"/>
        </w:rPr>
      </w:pPr>
      <w:r>
        <w:rPr>
          <w:sz w:val="22"/>
          <w:szCs w:val="22"/>
        </w:rPr>
        <w:t xml:space="preserve">Своевременно сообщать </w:t>
      </w:r>
      <w:r>
        <w:rPr/>
        <w:t>Принципалу</w:t>
      </w:r>
      <w:r>
        <w:rPr>
          <w:sz w:val="22"/>
          <w:szCs w:val="22"/>
        </w:rPr>
        <w:t xml:space="preserve"> предварительные сведения о потенциальном Клиенте (Пайщике) и резервировать Квартиры (Помещения), интересующие потенциального Клиента (Пайщика), на срок, необходимый для заключения Договора, но не более чем на два рабочих дня. По мере исполнения настоящего Договора предоставлять </w:t>
      </w:r>
      <w:r>
        <w:rPr/>
        <w:t>Принципалу</w:t>
      </w:r>
      <w:r>
        <w:rPr>
          <w:sz w:val="22"/>
          <w:szCs w:val="22"/>
        </w:rPr>
        <w:t xml:space="preserve"> отчет о своей деятельности в письменной форме. </w:t>
      </w:r>
      <w:r>
        <w:rPr/>
        <w:t xml:space="preserve">Принципал </w:t>
      </w:r>
      <w:r>
        <w:rPr>
          <w:sz w:val="22"/>
          <w:szCs w:val="22"/>
        </w:rPr>
        <w:t xml:space="preserve">вправе представить возражения по представленному Агентом отчету в течение пяти рабочих дней со дня получения отчета. </w:t>
      </w:r>
    </w:p>
    <w:p>
      <w:pPr>
        <w:pStyle w:val="Normal"/>
        <w:numPr>
          <w:ilvl w:val="2"/>
          <w:numId w:val="8"/>
        </w:numPr>
        <w:tabs>
          <w:tab w:val="clear" w:pos="708"/>
          <w:tab w:val="left" w:pos="540" w:leader="none"/>
        </w:tabs>
        <w:ind w:hanging="540" w:start="540" w:end="0"/>
        <w:jc w:val="both"/>
        <w:rPr>
          <w:sz w:val="22"/>
          <w:szCs w:val="22"/>
        </w:rPr>
      </w:pPr>
      <w:r>
        <w:rPr>
          <w:sz w:val="22"/>
          <w:szCs w:val="22"/>
        </w:rPr>
        <w:t>По мере исполнения настоящего Договора подписывать акты об оказании услуг.</w:t>
      </w:r>
    </w:p>
    <w:p>
      <w:pPr>
        <w:pStyle w:val="Normal"/>
        <w:numPr>
          <w:ilvl w:val="2"/>
          <w:numId w:val="8"/>
        </w:numPr>
        <w:tabs>
          <w:tab w:val="clear" w:pos="708"/>
          <w:tab w:val="left" w:pos="540" w:leader="none"/>
        </w:tabs>
        <w:ind w:hanging="540" w:start="540" w:end="0"/>
        <w:jc w:val="both"/>
        <w:rPr>
          <w:sz w:val="22"/>
          <w:szCs w:val="22"/>
        </w:rPr>
      </w:pPr>
      <w:r>
        <w:rPr>
          <w:sz w:val="22"/>
          <w:szCs w:val="22"/>
        </w:rPr>
        <w:t xml:space="preserve">Ежемесячно, не позднее 5 (пяти) дней с последнего числа отчетного месяца проводить с </w:t>
      </w:r>
      <w:r>
        <w:rPr/>
        <w:t xml:space="preserve">Принципалом </w:t>
      </w:r>
      <w:r>
        <w:rPr>
          <w:sz w:val="22"/>
          <w:szCs w:val="22"/>
        </w:rPr>
        <w:t>сверку расчетов по настоящему Договору с подписанием акта сверки.</w:t>
      </w:r>
    </w:p>
    <w:p>
      <w:pPr>
        <w:pStyle w:val="Normal"/>
        <w:jc w:val="both"/>
        <w:rPr>
          <w:sz w:val="22"/>
          <w:szCs w:val="22"/>
        </w:rPr>
      </w:pPr>
      <w:r>
        <w:rPr>
          <w:sz w:val="22"/>
          <w:szCs w:val="22"/>
        </w:rPr>
      </w:r>
    </w:p>
    <w:p>
      <w:pPr>
        <w:pStyle w:val="Normal"/>
        <w:numPr>
          <w:ilvl w:val="1"/>
          <w:numId w:val="8"/>
        </w:numPr>
        <w:tabs>
          <w:tab w:val="clear" w:pos="708"/>
          <w:tab w:val="left" w:pos="720" w:leader="none"/>
          <w:tab w:val="left" w:pos="1428" w:leader="none"/>
        </w:tabs>
        <w:jc w:val="both"/>
        <w:rPr>
          <w:b/>
          <w:bCs/>
          <w:sz w:val="22"/>
          <w:szCs w:val="22"/>
        </w:rPr>
      </w:pPr>
      <w:r>
        <w:rPr>
          <w:b/>
        </w:rPr>
        <w:t>Принципал</w:t>
      </w:r>
      <w:r>
        <w:rPr/>
        <w:t xml:space="preserve"> </w:t>
      </w:r>
      <w:r>
        <w:rPr>
          <w:b/>
          <w:bCs/>
          <w:sz w:val="22"/>
          <w:szCs w:val="22"/>
        </w:rPr>
        <w:t>обязуется:</w:t>
      </w:r>
    </w:p>
    <w:p>
      <w:pPr>
        <w:pStyle w:val="Normal"/>
        <w:numPr>
          <w:ilvl w:val="2"/>
          <w:numId w:val="8"/>
        </w:numPr>
        <w:tabs>
          <w:tab w:val="clear" w:pos="708"/>
          <w:tab w:val="left" w:pos="540" w:leader="none"/>
          <w:tab w:val="left" w:pos="720" w:leader="none"/>
        </w:tabs>
        <w:ind w:hanging="540" w:start="540" w:end="0"/>
        <w:jc w:val="both"/>
        <w:rPr>
          <w:bCs/>
          <w:sz w:val="22"/>
          <w:szCs w:val="22"/>
        </w:rPr>
      </w:pPr>
      <w:r>
        <w:rPr>
          <w:bCs/>
          <w:sz w:val="22"/>
          <w:szCs w:val="22"/>
        </w:rPr>
        <w:t xml:space="preserve">Предоставлять Агенту информацию по Квартирам (Помещениям) и по Объекту, в том числе: условное наименование Объекта, типы расположенных в Объекте Квартир (Помещений), стоимость одного квадратного метра общей площади Квартир (Помещений), сведения о размерах паевых, вступительных, целевых, членских взносах, приблизительная планировка (эскизы) Квартир (Помещений). Предоставление информации может осуществляться в форме размещения </w:t>
      </w:r>
      <w:r>
        <w:rPr/>
        <w:t xml:space="preserve">Принципалом </w:t>
      </w:r>
      <w:r>
        <w:rPr>
          <w:bCs/>
          <w:sz w:val="22"/>
          <w:szCs w:val="22"/>
        </w:rPr>
        <w:t xml:space="preserve">в средствах массовой информации соответствующих данных, либо иными, доступными способами (например: передача посредством факсимильной, почтовой и др. форм связи бумажных, электронных и пр. носителей информации; передача данных посредством сети </w:t>
      </w:r>
      <w:r>
        <w:rPr>
          <w:bCs/>
          <w:sz w:val="22"/>
          <w:szCs w:val="22"/>
          <w:lang w:val="en-US"/>
        </w:rPr>
        <w:t>Internet</w:t>
      </w:r>
      <w:r>
        <w:rPr>
          <w:bCs/>
          <w:sz w:val="22"/>
          <w:szCs w:val="22"/>
        </w:rPr>
        <w:t xml:space="preserve">, и т.д.). В случае изменения информации, </w:t>
      </w:r>
      <w:r>
        <w:rPr/>
        <w:t xml:space="preserve">Принципал </w:t>
      </w:r>
      <w:r>
        <w:rPr>
          <w:bCs/>
          <w:sz w:val="22"/>
          <w:szCs w:val="22"/>
        </w:rPr>
        <w:t>незамедлительно извещает Агента о произошедших изменениях.</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Утверждать отчеты Агента о ходе исполнения поручения, не позднее 5-ти рабочих дней с момента их получения или предоставлять мотивированный отказ.</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Выплачивать Агенту  вознаграждение в порядке и объеме, указанном в разделе 3 настоящего Договора.</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На основании устной (по телефону) или письменной (по факсимильной связи) заявки Агента резервировать Квартиры (Помещения), интересующие потенциального Клиента (Пайщика), на срок, необходимый для оформления Договора, но не более чем на два рабочих дня.</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 xml:space="preserve">Перед заключением Договора предоставлять привлеченным Агентом Клиентам (Пайщикам) по их запросам необходимую информацию по Объекту. </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 xml:space="preserve">Обеспечивать (в случае необходимости) возможность осмотра потенциальными Клиентами (Пайщиками) строящихся Объектов в присутствии представителей </w:t>
      </w:r>
      <w:r>
        <w:rPr/>
        <w:t>Принципала</w:t>
      </w:r>
      <w:r>
        <w:rPr>
          <w:sz w:val="22"/>
          <w:szCs w:val="22"/>
        </w:rPr>
        <w:t>.</w:t>
      </w:r>
    </w:p>
    <w:p>
      <w:pPr>
        <w:pStyle w:val="Normal"/>
        <w:numPr>
          <w:ilvl w:val="2"/>
          <w:numId w:val="8"/>
        </w:numPr>
        <w:tabs>
          <w:tab w:val="clear" w:pos="708"/>
          <w:tab w:val="left" w:pos="540" w:leader="none"/>
          <w:tab w:val="left" w:pos="720" w:leader="none"/>
        </w:tabs>
        <w:ind w:hanging="540" w:start="540" w:end="0"/>
        <w:jc w:val="both"/>
        <w:rPr>
          <w:bCs/>
          <w:sz w:val="22"/>
          <w:szCs w:val="22"/>
        </w:rPr>
      </w:pPr>
      <w:r>
        <w:rPr>
          <w:sz w:val="22"/>
          <w:szCs w:val="22"/>
        </w:rPr>
        <w:t>Информировать Агента о заключении с Клиентом (Пайщиком) Договора в течение трех дней с даты заключения такого Договора.</w:t>
      </w:r>
    </w:p>
    <w:p>
      <w:pPr>
        <w:pStyle w:val="Normal"/>
        <w:jc w:val="both"/>
        <w:rPr>
          <w:bCs/>
          <w:sz w:val="22"/>
          <w:szCs w:val="22"/>
        </w:rPr>
      </w:pPr>
      <w:r>
        <w:rPr>
          <w:bCs/>
          <w:sz w:val="22"/>
          <w:szCs w:val="22"/>
        </w:rPr>
      </w:r>
    </w:p>
    <w:p>
      <w:pPr>
        <w:pStyle w:val="Normal"/>
        <w:numPr>
          <w:ilvl w:val="0"/>
          <w:numId w:val="7"/>
        </w:numPr>
        <w:jc w:val="center"/>
        <w:rPr>
          <w:b/>
          <w:bCs/>
          <w:sz w:val="22"/>
          <w:szCs w:val="22"/>
        </w:rPr>
      </w:pPr>
      <w:r>
        <w:rPr>
          <w:b/>
          <w:bCs/>
          <w:sz w:val="22"/>
          <w:szCs w:val="22"/>
        </w:rPr>
        <w:t>ПОРЯДОК РАСЧЕТОВ.</w:t>
      </w:r>
    </w:p>
    <w:p>
      <w:pPr>
        <w:pStyle w:val="Normal"/>
        <w:numPr>
          <w:ilvl w:val="1"/>
          <w:numId w:val="7"/>
        </w:numPr>
        <w:tabs>
          <w:tab w:val="clear" w:pos="708"/>
          <w:tab w:val="left" w:pos="360" w:leader="none"/>
        </w:tabs>
        <w:ind w:hanging="360" w:start="360" w:end="0"/>
        <w:jc w:val="both"/>
        <w:rPr>
          <w:sz w:val="22"/>
          <w:szCs w:val="22"/>
        </w:rPr>
      </w:pPr>
      <w:r>
        <w:rPr>
          <w:sz w:val="22"/>
          <w:szCs w:val="22"/>
        </w:rPr>
        <w:t>Право Агента на вознаграждение возникает при совокупности следующих условий:</w:t>
      </w:r>
    </w:p>
    <w:p>
      <w:pPr>
        <w:pStyle w:val="Normal"/>
        <w:numPr>
          <w:ilvl w:val="0"/>
          <w:numId w:val="3"/>
        </w:numPr>
        <w:tabs>
          <w:tab w:val="clear" w:pos="708"/>
          <w:tab w:val="left" w:pos="567" w:leader="none"/>
        </w:tabs>
        <w:autoSpaceDE w:val="false"/>
        <w:ind w:hanging="283" w:start="567" w:end="0"/>
        <w:jc w:val="both"/>
        <w:rPr>
          <w:sz w:val="22"/>
          <w:szCs w:val="22"/>
        </w:rPr>
      </w:pPr>
      <w:r>
        <w:rPr>
          <w:sz w:val="22"/>
          <w:szCs w:val="22"/>
        </w:rPr>
        <w:t>заключение Договора Клиентом (Пайщиком), привлеченным Агентом в соответствии с условиями настоящего Договора, а в случае заключения Клиентом, привлеченным Агентом, договора долевого участия в строительстве жилого дома, государственная регистрация указанного договора,  в соответствии с требованиями п. 3, ст. 4  Федерального закона от 30.12.2004 N 214-ФЗ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w:t>
      </w:r>
    </w:p>
    <w:p>
      <w:pPr>
        <w:pStyle w:val="Normal"/>
        <w:numPr>
          <w:ilvl w:val="0"/>
          <w:numId w:val="3"/>
        </w:numPr>
        <w:tabs>
          <w:tab w:val="clear" w:pos="708"/>
          <w:tab w:val="left" w:pos="540" w:leader="none"/>
        </w:tabs>
        <w:ind w:hanging="256" w:start="540" w:end="0"/>
        <w:jc w:val="both"/>
        <w:rPr>
          <w:sz w:val="22"/>
          <w:szCs w:val="22"/>
        </w:rPr>
      </w:pPr>
      <w:r>
        <w:rPr>
          <w:sz w:val="22"/>
          <w:szCs w:val="22"/>
        </w:rPr>
        <w:t xml:space="preserve">поступление от Клиента в кассу или на расчетный счет </w:t>
      </w:r>
      <w:r>
        <w:rPr/>
        <w:t xml:space="preserve">Принципала </w:t>
      </w:r>
      <w:r>
        <w:rPr>
          <w:sz w:val="22"/>
          <w:szCs w:val="22"/>
        </w:rPr>
        <w:t xml:space="preserve">(Собственника) либо зачета по акту денежных средств в счет оплаты по Договору в размере не менее 30 % от общей стоимости Квартиры (Помещения), указанной в Договоре, либо поступления от Клиента в кассу или на расчетный счет </w:t>
      </w:r>
      <w:r>
        <w:rPr/>
        <w:t>Принципала</w:t>
      </w:r>
      <w:r>
        <w:rPr>
          <w:sz w:val="22"/>
          <w:szCs w:val="22"/>
        </w:rPr>
        <w:t xml:space="preserve"> денежных средств в размере не менее 30% от общей стоимости Квартиры (Помещения), указанной в Договоре, либо поступления от Пайщика на расчетный счет ЖСК денежных средств в размере не менее 30% от общей суммы паевого взноса, указанной в Договоре.</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Размер вознаграждения Агента по настоящему Договору включает в себя НДС и составляет нижеуказанный процент от общей стоимости Помещения, указанной в Договоре, заключенном с Клиентом, привлеченным Агентом, по которому в течение отчетного месяца  (с первого числа отчетного месяца до последнего числа отчетного месяца включительно) поступил первый взнос. </w:t>
      </w:r>
    </w:p>
    <w:p>
      <w:pPr>
        <w:pStyle w:val="Normal"/>
        <w:ind w:start="360" w:end="0"/>
        <w:jc w:val="both"/>
        <w:rPr>
          <w:sz w:val="22"/>
          <w:szCs w:val="22"/>
        </w:rPr>
      </w:pPr>
      <w:r>
        <w:rPr>
          <w:color w:val="FF0000"/>
          <w:sz w:val="22"/>
          <w:szCs w:val="22"/>
        </w:rPr>
        <w:t>.</w:t>
      </w:r>
      <w:r>
        <w:rPr>
          <w:sz w:val="22"/>
          <w:szCs w:val="22"/>
        </w:rPr>
        <w:t xml:space="preserve">Размер вознаграждения в рублях по настоящему Договору рассчитывается исходя из стоимости одной условной единицы (У.Е.) по курсу, устанавливаемому </w:t>
      </w:r>
      <w:r>
        <w:rPr/>
        <w:t xml:space="preserve">Принципалом </w:t>
      </w:r>
      <w:r>
        <w:rPr>
          <w:sz w:val="22"/>
          <w:szCs w:val="22"/>
        </w:rPr>
        <w:t xml:space="preserve">(либо ЖСК по договорам паенакопления) на день заключения Договора с Клиентом (Пайщиком), привлеченным Агентом. Устанавливаемый </w:t>
      </w:r>
      <w:r>
        <w:rPr/>
        <w:t xml:space="preserve">Принципалом </w:t>
      </w:r>
      <w:r>
        <w:rPr>
          <w:sz w:val="22"/>
          <w:szCs w:val="22"/>
        </w:rPr>
        <w:t>(либо ЖСК по договорам паенакопления) курс для расчета вознаграждения не может быть ниже _____ рублей за одну условную единицу. В последующих взаимоотношениях Сторон условная единица рублевому пересчету (изменению) не подлежит.</w:t>
      </w:r>
    </w:p>
    <w:p>
      <w:pPr>
        <w:pStyle w:val="Normal"/>
        <w:numPr>
          <w:ilvl w:val="1"/>
          <w:numId w:val="7"/>
        </w:numPr>
        <w:tabs>
          <w:tab w:val="clear" w:pos="708"/>
          <w:tab w:val="left" w:pos="360" w:leader="none"/>
        </w:tabs>
        <w:ind w:hanging="360" w:start="360" w:end="0"/>
        <w:jc w:val="both"/>
        <w:rPr>
          <w:sz w:val="22"/>
          <w:szCs w:val="22"/>
        </w:rPr>
      </w:pPr>
      <w:r>
        <w:rPr>
          <w:sz w:val="22"/>
          <w:szCs w:val="22"/>
        </w:rPr>
        <w:t>Начисление вознаграждения Агенту производится при соблюдении условий п.3.1, настоящего Договора на основании утвержденного отчета Агента.</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Выплата вознаграждения Агенту производится </w:t>
      </w:r>
      <w:r>
        <w:rPr/>
        <w:t>Принципалом</w:t>
      </w:r>
      <w:r>
        <w:rPr>
          <w:sz w:val="22"/>
          <w:szCs w:val="22"/>
        </w:rPr>
        <w:t xml:space="preserve"> на основании утвержденного отчета Агента, содержащего расчет вознаграждения Агента. Днем выплаты вознаграждения по настоящему Договору является день выдачи рублевых денежных средств из кассы </w:t>
      </w:r>
      <w:r>
        <w:rPr/>
        <w:t xml:space="preserve">Принципала </w:t>
      </w:r>
      <w:r>
        <w:rPr>
          <w:sz w:val="22"/>
          <w:szCs w:val="22"/>
        </w:rPr>
        <w:t xml:space="preserve">или списания рублевых денежных средств с его расчетного счета. </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В случае передачи в оплату по Договорам векселей вознаграждение Агенту начисляется после погашения векселей, предъявленных к оплате, либо с момента передачи векселей в счет исполнения обязательств третьим лицам. Издержки (в том числе на рекламу), понесенные Агентом при исполнении настоящего Договора, возмещению Агенту  не подлежат. </w:t>
      </w:r>
    </w:p>
    <w:p>
      <w:pPr>
        <w:pStyle w:val="Normal"/>
        <w:jc w:val="both"/>
        <w:rPr>
          <w:sz w:val="22"/>
          <w:szCs w:val="22"/>
        </w:rPr>
      </w:pPr>
      <w:r>
        <w:rPr>
          <w:sz w:val="22"/>
          <w:szCs w:val="22"/>
        </w:rPr>
      </w:r>
    </w:p>
    <w:p>
      <w:pPr>
        <w:pStyle w:val="Normal"/>
        <w:numPr>
          <w:ilvl w:val="0"/>
          <w:numId w:val="7"/>
        </w:numPr>
        <w:jc w:val="center"/>
        <w:rPr>
          <w:b/>
          <w:bCs/>
          <w:sz w:val="22"/>
          <w:szCs w:val="22"/>
        </w:rPr>
      </w:pPr>
      <w:r>
        <w:rPr>
          <w:b/>
          <w:bCs/>
          <w:sz w:val="22"/>
          <w:szCs w:val="22"/>
        </w:rPr>
        <w:t>ОТВЕТСТВЕННОСТЬ СТОРОН</w:t>
      </w:r>
    </w:p>
    <w:p>
      <w:pPr>
        <w:pStyle w:val="Normal"/>
        <w:numPr>
          <w:ilvl w:val="1"/>
          <w:numId w:val="7"/>
        </w:numPr>
        <w:tabs>
          <w:tab w:val="clear" w:pos="708"/>
          <w:tab w:val="left" w:pos="360" w:leader="none"/>
        </w:tabs>
        <w:ind w:hanging="360" w:start="360" w:end="0"/>
        <w:jc w:val="both"/>
        <w:rPr>
          <w:sz w:val="22"/>
          <w:szCs w:val="22"/>
        </w:rPr>
      </w:pPr>
      <w:r>
        <w:rPr>
          <w:sz w:val="22"/>
          <w:szCs w:val="22"/>
        </w:rPr>
        <w:t>Стороны несут ответственность за неисполнение и (или) ненадлежащее исполнение условий настоящего Договора в соответствии с действующим законодательством Российской Федерации.</w:t>
      </w:r>
    </w:p>
    <w:p>
      <w:pPr>
        <w:pStyle w:val="Normal"/>
        <w:jc w:val="both"/>
        <w:rPr>
          <w:sz w:val="22"/>
          <w:szCs w:val="22"/>
        </w:rPr>
      </w:pPr>
      <w:r>
        <w:rPr>
          <w:sz w:val="22"/>
          <w:szCs w:val="22"/>
        </w:rPr>
      </w:r>
    </w:p>
    <w:p>
      <w:pPr>
        <w:pStyle w:val="Normal"/>
        <w:numPr>
          <w:ilvl w:val="0"/>
          <w:numId w:val="7"/>
        </w:numPr>
        <w:jc w:val="center"/>
        <w:rPr>
          <w:b/>
          <w:bCs/>
          <w:sz w:val="22"/>
          <w:szCs w:val="22"/>
        </w:rPr>
      </w:pPr>
      <w:r>
        <w:rPr>
          <w:b/>
          <w:bCs/>
          <w:sz w:val="22"/>
          <w:szCs w:val="22"/>
        </w:rPr>
        <w:t>ДОПОЛНИТЕЛЬНЫЕ УСЛОВИЯ</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Агент вправе уступить свои права по настоящему Договору только с письменного согласия </w:t>
      </w:r>
      <w:r>
        <w:rPr/>
        <w:t>Принципала</w:t>
      </w:r>
      <w:r>
        <w:rPr>
          <w:sz w:val="22"/>
          <w:szCs w:val="22"/>
        </w:rPr>
        <w:t xml:space="preserve">. </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Агент имеет право в целях надлежащего исполнения обязательств по настоящему Договору привлекать субагентов, только предварительно письменно согласованных с </w:t>
      </w:r>
      <w:r>
        <w:rPr/>
        <w:t>Принципалом</w:t>
      </w:r>
      <w:r>
        <w:rPr>
          <w:sz w:val="22"/>
          <w:szCs w:val="22"/>
        </w:rPr>
        <w:t xml:space="preserve">. При этом Агент несет ответственность за действия третьих лиц, как за свои собственные. Привлечение Агентом третьих лиц не влечет увеличение установленного настоящим Договором вознаграждения Агента. </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Агент вправе осуществлять консультационное обслуживание потенциальных Клиентов (Пайщиков) в процессе переговоров между Клиентами (Пайщиками) и </w:t>
      </w:r>
      <w:r>
        <w:rPr/>
        <w:t xml:space="preserve">Принципалом </w:t>
      </w:r>
      <w:r>
        <w:rPr>
          <w:sz w:val="22"/>
          <w:szCs w:val="22"/>
        </w:rPr>
        <w:t>и присутствовать на таких переговорах.</w:t>
      </w:r>
    </w:p>
    <w:p>
      <w:pPr>
        <w:pStyle w:val="Normal"/>
        <w:numPr>
          <w:ilvl w:val="1"/>
          <w:numId w:val="7"/>
        </w:numPr>
        <w:tabs>
          <w:tab w:val="clear" w:pos="708"/>
          <w:tab w:val="left" w:pos="360" w:leader="none"/>
        </w:tabs>
        <w:ind w:hanging="360" w:start="360" w:end="0"/>
        <w:jc w:val="both"/>
        <w:rPr>
          <w:sz w:val="22"/>
          <w:szCs w:val="22"/>
        </w:rPr>
      </w:pPr>
      <w:r>
        <w:rPr>
          <w:sz w:val="22"/>
          <w:szCs w:val="22"/>
        </w:rPr>
        <w:t>При изменении организационно-правовой формы или формы собственности какой-либо из Сторон настоящего Договора все без исключения права и обязанности каждой из них переходят к соответствующим правопреемникам.</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Все споры и разногласия по настоящему Договору урегулируются Сторонами путем переговоров, а в случае недостижения согласия спор подлежит разрешению арбитражным судом в соответствии с законодательством РФ. </w:t>
      </w:r>
    </w:p>
    <w:p>
      <w:pPr>
        <w:pStyle w:val="Normal"/>
        <w:numPr>
          <w:ilvl w:val="1"/>
          <w:numId w:val="7"/>
        </w:numPr>
        <w:tabs>
          <w:tab w:val="clear" w:pos="708"/>
          <w:tab w:val="left" w:pos="360" w:leader="none"/>
        </w:tabs>
        <w:ind w:hanging="360" w:start="360" w:end="0"/>
        <w:jc w:val="both"/>
        <w:rPr>
          <w:sz w:val="22"/>
          <w:szCs w:val="22"/>
        </w:rPr>
      </w:pPr>
      <w:r>
        <w:rPr>
          <w:sz w:val="22"/>
          <w:szCs w:val="22"/>
        </w:rPr>
        <w:t>Все приложения, дополнительные соглашения, протоколы и акты должны быть согласованы и подписаны обеими Сторонами.</w:t>
      </w:r>
    </w:p>
    <w:p>
      <w:pPr>
        <w:pStyle w:val="Normal"/>
        <w:numPr>
          <w:ilvl w:val="1"/>
          <w:numId w:val="7"/>
        </w:numPr>
        <w:tabs>
          <w:tab w:val="clear" w:pos="708"/>
          <w:tab w:val="left" w:pos="360" w:leader="none"/>
        </w:tabs>
        <w:ind w:hanging="360" w:start="360" w:end="0"/>
        <w:jc w:val="both"/>
        <w:rPr>
          <w:sz w:val="22"/>
          <w:szCs w:val="22"/>
        </w:rPr>
      </w:pPr>
      <w:r>
        <w:rPr>
          <w:sz w:val="22"/>
          <w:szCs w:val="22"/>
        </w:rPr>
        <w:t>Во всем, что не предусмотрено настоящим Договором, Стороны руководствуются действующим законодательством РФ.</w:t>
      </w:r>
    </w:p>
    <w:p>
      <w:pPr>
        <w:pStyle w:val="Normal"/>
        <w:jc w:val="both"/>
        <w:rPr>
          <w:sz w:val="22"/>
          <w:szCs w:val="22"/>
        </w:rPr>
      </w:pPr>
      <w:r>
        <w:rPr>
          <w:sz w:val="22"/>
          <w:szCs w:val="22"/>
        </w:rPr>
      </w:r>
    </w:p>
    <w:p>
      <w:pPr>
        <w:pStyle w:val="Normal"/>
        <w:numPr>
          <w:ilvl w:val="0"/>
          <w:numId w:val="7"/>
        </w:numPr>
        <w:jc w:val="center"/>
        <w:rPr>
          <w:b/>
          <w:bCs/>
          <w:sz w:val="22"/>
          <w:szCs w:val="22"/>
        </w:rPr>
      </w:pPr>
      <w:r>
        <w:rPr>
          <w:b/>
          <w:bCs/>
          <w:sz w:val="22"/>
          <w:szCs w:val="22"/>
        </w:rPr>
        <w:t>СРОК ДЕЙСТВИЯ ДОГОВОРА.</w:t>
      </w:r>
    </w:p>
    <w:p>
      <w:pPr>
        <w:pStyle w:val="Normal"/>
        <w:numPr>
          <w:ilvl w:val="1"/>
          <w:numId w:val="7"/>
        </w:numPr>
        <w:tabs>
          <w:tab w:val="clear" w:pos="708"/>
          <w:tab w:val="left" w:pos="360" w:leader="none"/>
        </w:tabs>
        <w:ind w:hanging="360" w:start="360" w:end="0"/>
        <w:jc w:val="both"/>
        <w:rPr>
          <w:sz w:val="22"/>
          <w:szCs w:val="22"/>
        </w:rPr>
      </w:pPr>
      <w:r>
        <w:rPr>
          <w:sz w:val="22"/>
          <w:szCs w:val="22"/>
        </w:rPr>
        <w:t>Настоящий Договор вступает в силу с момента его подписания Сторонами.</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Срок действия настоящего Договора  - </w:t>
      </w:r>
      <w:r>
        <w:rPr>
          <w:sz w:val="22"/>
          <w:szCs w:val="22"/>
          <w:lang w:val="en-US"/>
        </w:rPr>
        <w:t>_______________________</w:t>
      </w:r>
      <w:r>
        <w:rPr>
          <w:sz w:val="22"/>
          <w:szCs w:val="22"/>
        </w:rPr>
        <w:t xml:space="preserve">. </w:t>
      </w:r>
    </w:p>
    <w:p>
      <w:pPr>
        <w:pStyle w:val="Normal"/>
        <w:numPr>
          <w:ilvl w:val="1"/>
          <w:numId w:val="7"/>
        </w:numPr>
        <w:tabs>
          <w:tab w:val="clear" w:pos="708"/>
          <w:tab w:val="left" w:pos="360" w:leader="none"/>
        </w:tabs>
        <w:ind w:hanging="360" w:start="360" w:end="0"/>
        <w:jc w:val="both"/>
        <w:rPr>
          <w:sz w:val="22"/>
          <w:szCs w:val="22"/>
        </w:rPr>
      </w:pPr>
      <w:r>
        <w:rPr>
          <w:sz w:val="22"/>
          <w:szCs w:val="22"/>
        </w:rPr>
        <w:t xml:space="preserve">Настоящий Договор может быть расторгнут одной  из Сторон в одностороннем внесудебном порядке путем направления другой Стороне  соответствующего уведомления о расторжении. Договор при этом считается расторгнутым  по истечении 10 рабочих дней с момента отправки уведомления о расторжении в адрес другой Стороны, указанный в  разделе 8 настоящего Договора. При этом не позднее 10 рабочих  дней с момента расторжения настоящего Договора, </w:t>
      </w:r>
      <w:r>
        <w:rPr/>
        <w:t xml:space="preserve">Принципал </w:t>
      </w:r>
      <w:r>
        <w:rPr>
          <w:sz w:val="22"/>
          <w:szCs w:val="22"/>
        </w:rPr>
        <w:t xml:space="preserve">производит выплату вознаграждения Агента, зафиксированного в утвержденном </w:t>
      </w:r>
      <w:r>
        <w:rPr/>
        <w:t xml:space="preserve">Принципалом </w:t>
      </w:r>
      <w:r>
        <w:rPr>
          <w:sz w:val="22"/>
          <w:szCs w:val="22"/>
        </w:rPr>
        <w:t>к моменту расторжения Договора отчете Агента.</w:t>
      </w:r>
    </w:p>
    <w:p>
      <w:pPr>
        <w:pStyle w:val="Normal"/>
        <w:jc w:val="both"/>
        <w:rPr>
          <w:sz w:val="22"/>
          <w:szCs w:val="22"/>
        </w:rPr>
      </w:pPr>
      <w:r>
        <w:rPr>
          <w:sz w:val="22"/>
          <w:szCs w:val="22"/>
        </w:rPr>
      </w:r>
    </w:p>
    <w:p>
      <w:pPr>
        <w:pStyle w:val="Normal"/>
        <w:numPr>
          <w:ilvl w:val="0"/>
          <w:numId w:val="7"/>
        </w:numPr>
        <w:jc w:val="center"/>
        <w:rPr>
          <w:b/>
          <w:bCs/>
          <w:sz w:val="22"/>
          <w:szCs w:val="22"/>
        </w:rPr>
      </w:pPr>
      <w:r>
        <w:rPr>
          <w:b/>
          <w:bCs/>
          <w:sz w:val="22"/>
          <w:szCs w:val="22"/>
        </w:rPr>
        <w:t>ЗАКЛЮЧИТЕЛЬНЫЕ ПОЛОЖЕНИЯ.</w:t>
      </w:r>
    </w:p>
    <w:p>
      <w:pPr>
        <w:pStyle w:val="Normal"/>
        <w:numPr>
          <w:ilvl w:val="1"/>
          <w:numId w:val="7"/>
        </w:numPr>
        <w:tabs>
          <w:tab w:val="clear" w:pos="708"/>
          <w:tab w:val="left" w:pos="360" w:leader="none"/>
        </w:tabs>
        <w:ind w:hanging="360" w:start="360" w:end="0"/>
        <w:jc w:val="both"/>
        <w:rPr>
          <w:sz w:val="22"/>
          <w:szCs w:val="22"/>
        </w:rPr>
      </w:pPr>
      <w:r>
        <w:rPr>
          <w:sz w:val="22"/>
          <w:szCs w:val="22"/>
        </w:rPr>
        <w:t>Настоящий Договор составлен  3-х (трех) экземплярах, имеющих равную юридическую силу.</w:t>
      </w:r>
    </w:p>
    <w:p>
      <w:pPr>
        <w:pStyle w:val="Normal"/>
        <w:rPr>
          <w:b/>
          <w:bCs/>
          <w:sz w:val="22"/>
          <w:szCs w:val="22"/>
        </w:rPr>
      </w:pPr>
      <w:r>
        <w:rPr>
          <w:b/>
          <w:bCs/>
          <w:sz w:val="22"/>
          <w:szCs w:val="22"/>
        </w:rPr>
      </w:r>
    </w:p>
    <w:p>
      <w:pPr>
        <w:pStyle w:val="Normal"/>
        <w:numPr>
          <w:ilvl w:val="0"/>
          <w:numId w:val="4"/>
        </w:numPr>
        <w:jc w:val="center"/>
        <w:rPr>
          <w:b/>
          <w:bCs/>
          <w:sz w:val="22"/>
          <w:szCs w:val="22"/>
        </w:rPr>
      </w:pPr>
      <w:r>
        <w:rPr/>
        <w:t>РЕКВИЗИТЫ И ПОДПИСИ СТОРОН.</w:t>
      </w:r>
    </w:p>
    <w:tbl>
      <w:tblPr>
        <w:tblW w:w="9360" w:type="dxa"/>
        <w:jc w:val="start"/>
        <w:tblInd w:w="468" w:type="dxa"/>
        <w:tblLayout w:type="fixed"/>
        <w:tblCellMar>
          <w:top w:w="0" w:type="dxa"/>
          <w:start w:w="108" w:type="dxa"/>
          <w:bottom w:w="0" w:type="dxa"/>
          <w:end w:w="108" w:type="dxa"/>
        </w:tblCellMar>
      </w:tblPr>
      <w:tblGrid>
        <w:gridCol w:w="4860"/>
        <w:gridCol w:w="4500"/>
      </w:tblGrid>
      <w:tr>
        <w:trPr>
          <w:trHeight w:val="1776" w:hRule="atLeast"/>
        </w:trPr>
        <w:tc>
          <w:tcPr>
            <w:tcW w:w="4860" w:type="dxa"/>
            <w:tcBorders/>
          </w:tcPr>
          <w:p>
            <w:pPr>
              <w:pStyle w:val="header1"/>
              <w:tabs>
                <w:tab w:val="clear" w:pos="4153"/>
                <w:tab w:val="clear" w:pos="8306"/>
              </w:tabs>
              <w:jc w:val="both"/>
              <w:rPr>
                <w:b/>
                <w:bCs/>
                <w:sz w:val="22"/>
                <w:szCs w:val="22"/>
              </w:rPr>
            </w:pPr>
            <w:r>
              <w:rPr>
                <w:b/>
              </w:rPr>
              <w:t>Принципал</w:t>
            </w:r>
            <w:r>
              <w:rPr/>
              <w:t xml:space="preserve"> </w:t>
            </w:r>
          </w:p>
          <w:p>
            <w:pPr>
              <w:pStyle w:val="header1"/>
              <w:tabs>
                <w:tab w:val="clear" w:pos="4153"/>
                <w:tab w:val="clear" w:pos="8306"/>
              </w:tabs>
              <w:jc w:val="both"/>
              <w:rPr>
                <w:b/>
                <w:bCs/>
                <w:sz w:val="22"/>
                <w:szCs w:val="22"/>
              </w:rPr>
            </w:pPr>
            <w:r>
              <w:rPr>
                <w:b/>
                <w:bCs/>
                <w:sz w:val="22"/>
                <w:szCs w:val="22"/>
              </w:rPr>
            </w:r>
          </w:p>
        </w:tc>
        <w:tc>
          <w:tcPr>
            <w:tcW w:w="4500" w:type="dxa"/>
            <w:tcBorders/>
          </w:tcPr>
          <w:p>
            <w:pPr>
              <w:pStyle w:val="Heading1"/>
              <w:ind w:hanging="0" w:start="0"/>
              <w:rPr/>
            </w:pPr>
            <w:r>
              <w:rPr>
                <w:sz w:val="22"/>
                <w:szCs w:val="22"/>
              </w:rPr>
              <w:t>Агент</w:t>
            </w:r>
          </w:p>
          <w:p>
            <w:pPr>
              <w:pStyle w:val="Normal"/>
              <w:rPr>
                <w:sz w:val="22"/>
                <w:szCs w:val="22"/>
              </w:rPr>
            </w:pPr>
            <w:r>
              <w:rPr>
                <w:sz w:val="22"/>
                <w:szCs w:val="22"/>
              </w:rPr>
            </w:r>
          </w:p>
          <w:p>
            <w:pPr>
              <w:pStyle w:val="Normal"/>
              <w:rPr>
                <w:sz w:val="22"/>
                <w:szCs w:val="22"/>
                <w:lang w:val="en-US"/>
              </w:rPr>
            </w:pPr>
            <w:r>
              <w:rPr>
                <w:sz w:val="22"/>
                <w:szCs w:val="22"/>
                <w:lang w:val="en-US"/>
              </w:rPr>
            </w:r>
          </w:p>
          <w:p>
            <w:pPr>
              <w:pStyle w:val="Normal"/>
              <w:rPr>
                <w:sz w:val="22"/>
                <w:szCs w:val="22"/>
                <w:lang w:val="en-US"/>
              </w:rPr>
            </w:pPr>
            <w:r>
              <w:rPr>
                <w:sz w:val="22"/>
                <w:szCs w:val="22"/>
                <w:lang w:val="en-US"/>
              </w:rPr>
            </w:r>
          </w:p>
          <w:p>
            <w:pPr>
              <w:pStyle w:val="Normal"/>
              <w:rPr>
                <w:sz w:val="22"/>
                <w:szCs w:val="22"/>
                <w:lang w:val="en-US"/>
              </w:rPr>
            </w:pPr>
            <w:r>
              <w:rPr>
                <w:sz w:val="22"/>
                <w:szCs w:val="22"/>
                <w:lang w:val="en-US"/>
              </w:rPr>
            </w:r>
          </w:p>
          <w:p>
            <w:pPr>
              <w:pStyle w:val="Normal"/>
              <w:rPr>
                <w:sz w:val="22"/>
                <w:szCs w:val="22"/>
              </w:rPr>
            </w:pPr>
            <w:r>
              <w:rPr>
                <w:sz w:val="22"/>
                <w:szCs w:val="22"/>
              </w:rPr>
            </w:r>
          </w:p>
        </w:tc>
      </w:tr>
    </w:tbl>
    <w:p>
      <w:pPr>
        <w:pStyle w:val="Normal"/>
        <w:jc w:val="both"/>
        <w:rPr>
          <w:sz w:val="22"/>
          <w:szCs w:val="22"/>
        </w:rPr>
      </w:pPr>
      <w:r>
        <w:rPr>
          <w:sz w:val="22"/>
          <w:szCs w:val="22"/>
        </w:rPr>
        <w:t xml:space="preserve">   </w:t>
      </w:r>
    </w:p>
    <w:sectPr>
      <w:type w:val="nextPage"/>
      <w:pgSz w:w="12240" w:h="15840"/>
      <w:pgMar w:left="993" w:right="616" w:gutter="0" w:header="0" w:top="454" w:footer="0" w:bottom="51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Wingdings">
    <w:charset w:val="02"/>
    <w:family w:val="auto"/>
    <w:pitch w:val="variable"/>
  </w:font>
  <w:font w:name="Courier New">
    <w:charset w:val="cc" w:characterSet="windows-1251"/>
    <w:family w:val="modern"/>
    <w:pitch w:val="default"/>
  </w:font>
  <w:font w:name="Tahoma">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068"/>
        </w:tabs>
        <w:ind w:start="1068" w:hanging="360"/>
      </w:pPr>
      <w:rPr/>
    </w:lvl>
    <w:lvl w:ilvl="1">
      <w:start w:val="1"/>
      <w:numFmt w:val="bullet"/>
      <w:lvlText w:val=""/>
      <w:lvlJc w:val="start"/>
      <w:pPr>
        <w:tabs>
          <w:tab w:val="num" w:pos="360"/>
        </w:tabs>
        <w:ind w:start="360" w:hanging="360"/>
      </w:pPr>
      <w:rPr>
        <w:rFonts w:ascii="Wingdings" w:hAnsi="Wingdings" w:cs="Wingdings" w:hint="default"/>
      </w:rPr>
    </w:lvl>
    <w:lvl w:ilvl="2">
      <w:start w:val="0"/>
      <w:numFmt w:val="none"/>
      <w:suff w:val="nothing"/>
      <w:lvlText w:val=""/>
      <w:lvlJc w:val="start"/>
      <w:pPr>
        <w:tabs>
          <w:tab w:val="num" w:pos="360"/>
        </w:tabs>
        <w:ind w:start="0" w:hanging="0"/>
      </w:pPr>
    </w:lvl>
    <w:lvl w:ilvl="3">
      <w:start w:val="0"/>
      <w:numFmt w:val="none"/>
      <w:suff w:val="nothing"/>
      <w:lvlText w:val=""/>
      <w:lvlJc w:val="start"/>
      <w:pPr>
        <w:tabs>
          <w:tab w:val="num" w:pos="360"/>
        </w:tabs>
        <w:ind w:start="0" w:hanging="0"/>
      </w:pPr>
    </w:lvl>
    <w:lvl w:ilvl="4">
      <w:start w:val="0"/>
      <w:numFmt w:val="none"/>
      <w:suff w:val="nothing"/>
      <w:lvlText w:val=""/>
      <w:lvlJc w:val="start"/>
      <w:pPr>
        <w:tabs>
          <w:tab w:val="num" w:pos="360"/>
        </w:tabs>
        <w:ind w:start="0" w:hanging="0"/>
      </w:pPr>
    </w:lvl>
    <w:lvl w:ilvl="5">
      <w:start w:val="0"/>
      <w:numFmt w:val="none"/>
      <w:suff w:val="nothing"/>
      <w:lvlText w:val=""/>
      <w:lvlJc w:val="start"/>
      <w:pPr>
        <w:tabs>
          <w:tab w:val="num" w:pos="360"/>
        </w:tabs>
        <w:ind w:start="0" w:hanging="0"/>
      </w:pPr>
    </w:lvl>
    <w:lvl w:ilvl="6">
      <w:start w:val="0"/>
      <w:numFmt w:val="none"/>
      <w:suff w:val="nothing"/>
      <w:lvlText w:val=""/>
      <w:lvlJc w:val="start"/>
      <w:pPr>
        <w:tabs>
          <w:tab w:val="num" w:pos="360"/>
        </w:tabs>
        <w:ind w:start="0" w:hanging="0"/>
      </w:pPr>
    </w:lvl>
    <w:lvl w:ilvl="7">
      <w:start w:val="0"/>
      <w:numFmt w:val="none"/>
      <w:suff w:val="nothing"/>
      <w:lvlText w:val=""/>
      <w:lvlJc w:val="start"/>
      <w:pPr>
        <w:tabs>
          <w:tab w:val="num" w:pos="360"/>
        </w:tabs>
        <w:ind w:start="0" w:hanging="0"/>
      </w:pPr>
    </w:lvl>
    <w:lvl w:ilvl="8">
      <w:start w:val="0"/>
      <w:numFmt w:val="none"/>
      <w:suff w:val="nothing"/>
      <w:lvlText w:val=""/>
      <w:lvlJc w:val="start"/>
      <w:pPr>
        <w:tabs>
          <w:tab w:val="num" w:pos="360"/>
        </w:tabs>
        <w:ind w:start="0" w:hanging="0"/>
      </w:pPr>
    </w:lvl>
  </w:abstractNum>
  <w:abstractNum w:abstractNumId="3">
    <w:lvl w:ilvl="0">
      <w:start w:val="1"/>
      <w:numFmt w:val="bullet"/>
      <w:lvlText w:val=""/>
      <w:lvlJc w:val="start"/>
      <w:pPr>
        <w:tabs>
          <w:tab w:val="num" w:pos="2145"/>
        </w:tabs>
        <w:ind w:start="2145" w:hanging="360"/>
      </w:pPr>
      <w:rPr>
        <w:rFonts w:ascii="Symbol" w:hAnsi="Symbol" w:cs="Symbol" w:hint="default"/>
      </w:rPr>
    </w:lvl>
  </w:abstractNum>
  <w:abstractNum w:abstractNumId="4">
    <w:lvl w:ilvl="0">
      <w:start w:val="8"/>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5">
    <w:lvl w:ilvl="0">
      <w:start w:val="1"/>
      <w:numFmt w:val="decimal"/>
      <w:lvlText w:val="%1."/>
      <w:lvlJc w:val="start"/>
      <w:pPr>
        <w:tabs>
          <w:tab w:val="num" w:pos="360"/>
        </w:tabs>
        <w:ind w:start="360" w:hanging="360"/>
      </w:pPr>
      <w:rPr/>
    </w:lvl>
    <w:lvl w:ilvl="1">
      <w:start w:val="1"/>
      <w:numFmt w:val="decimal"/>
      <w:lvlText w:val="%1.%2."/>
      <w:lvlJc w:val="start"/>
      <w:pPr>
        <w:tabs>
          <w:tab w:val="num" w:pos="1068"/>
        </w:tabs>
        <w:ind w:start="1068" w:hanging="360"/>
      </w:pPr>
      <w:rPr/>
    </w:lvl>
    <w:lvl w:ilvl="2">
      <w:start w:val="1"/>
      <w:numFmt w:val="decimal"/>
      <w:lvlText w:val="%1.%2.%3."/>
      <w:lvlJc w:val="start"/>
      <w:pPr>
        <w:tabs>
          <w:tab w:val="num" w:pos="1776"/>
        </w:tabs>
        <w:ind w:start="1776" w:hanging="360"/>
      </w:pPr>
      <w:rPr/>
    </w:lvl>
    <w:lvl w:ilvl="3">
      <w:start w:val="1"/>
      <w:numFmt w:val="decimal"/>
      <w:lvlText w:val="%1.%2.%3.%4."/>
      <w:lvlJc w:val="start"/>
      <w:pPr>
        <w:tabs>
          <w:tab w:val="num" w:pos="2844"/>
        </w:tabs>
        <w:ind w:start="2844" w:hanging="720"/>
      </w:pPr>
      <w:rPr/>
    </w:lvl>
    <w:lvl w:ilvl="4">
      <w:start w:val="1"/>
      <w:numFmt w:val="decimal"/>
      <w:lvlText w:val="%1.%2.%3.%4.%5."/>
      <w:lvlJc w:val="start"/>
      <w:pPr>
        <w:tabs>
          <w:tab w:val="num" w:pos="3552"/>
        </w:tabs>
        <w:ind w:start="3552" w:hanging="720"/>
      </w:pPr>
      <w:rPr/>
    </w:lvl>
    <w:lvl w:ilvl="5">
      <w:start w:val="1"/>
      <w:numFmt w:val="decimal"/>
      <w:lvlText w:val="%1.%2.%3.%4.%5.%6."/>
      <w:lvlJc w:val="start"/>
      <w:pPr>
        <w:tabs>
          <w:tab w:val="num" w:pos="4260"/>
        </w:tabs>
        <w:ind w:start="4260" w:hanging="720"/>
      </w:pPr>
      <w:rPr/>
    </w:lvl>
    <w:lvl w:ilvl="6">
      <w:start w:val="1"/>
      <w:numFmt w:val="decimal"/>
      <w:lvlText w:val="%1.%2.%3.%4.%5.%6.%7."/>
      <w:lvlJc w:val="start"/>
      <w:pPr>
        <w:tabs>
          <w:tab w:val="num" w:pos="5328"/>
        </w:tabs>
        <w:ind w:start="5328" w:hanging="1080"/>
      </w:pPr>
      <w:rPr/>
    </w:lvl>
    <w:lvl w:ilvl="7">
      <w:start w:val="1"/>
      <w:numFmt w:val="decimal"/>
      <w:lvlText w:val="%1.%2.%3.%4.%5.%6.%7.%8."/>
      <w:lvlJc w:val="start"/>
      <w:pPr>
        <w:tabs>
          <w:tab w:val="num" w:pos="6036"/>
        </w:tabs>
        <w:ind w:start="6036" w:hanging="1080"/>
      </w:pPr>
      <w:rPr/>
    </w:lvl>
    <w:lvl w:ilvl="8">
      <w:start w:val="1"/>
      <w:numFmt w:val="decimal"/>
      <w:lvlText w:val="%1.%2.%3.%4.%5.%6.%7.%8.%9."/>
      <w:lvlJc w:val="start"/>
      <w:pPr>
        <w:tabs>
          <w:tab w:val="num" w:pos="6744"/>
        </w:tabs>
        <w:ind w:start="6744" w:hanging="1080"/>
      </w:pPr>
      <w:rPr/>
    </w:lvl>
  </w:abstractNum>
  <w:abstractNum w:abstractNumId="6">
    <w:lvl w:ilvl="0">
      <w:start w:val="1"/>
      <w:numFmt w:val="decimal"/>
      <w:lvlText w:val="%1."/>
      <w:lvlJc w:val="start"/>
      <w:pPr>
        <w:tabs>
          <w:tab w:val="num" w:pos="1068"/>
        </w:tabs>
        <w:ind w:start="1068" w:hanging="360"/>
      </w:pPr>
      <w:rPr/>
    </w:lvl>
  </w:abstractNum>
  <w:abstractNum w:abstractNumId="7">
    <w:lvl w:ilvl="0">
      <w:start w:val="3"/>
      <w:numFmt w:val="decimal"/>
      <w:lvlText w:val="%1."/>
      <w:lvlJc w:val="start"/>
      <w:pPr>
        <w:tabs>
          <w:tab w:val="num" w:pos="705"/>
        </w:tabs>
        <w:ind w:start="705" w:hanging="705"/>
      </w:pPr>
      <w:rPr/>
    </w:lvl>
    <w:lvl w:ilvl="1">
      <w:start w:val="1"/>
      <w:numFmt w:val="decimal"/>
      <w:lvlText w:val="%1.%2."/>
      <w:lvlJc w:val="start"/>
      <w:pPr>
        <w:tabs>
          <w:tab w:val="num" w:pos="705"/>
        </w:tabs>
        <w:ind w:start="705" w:hanging="705"/>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8">
    <w:lvl w:ilvl="0">
      <w:start w:val="2"/>
      <w:numFmt w:val="decimal"/>
      <w:lvlText w:val="%1."/>
      <w:lvlJc w:val="start"/>
      <w:pPr>
        <w:tabs>
          <w:tab w:val="num" w:pos="360"/>
        </w:tabs>
        <w:ind w:start="360" w:hanging="360"/>
      </w:pPr>
      <w:rPr/>
    </w:lvl>
    <w:lvl w:ilvl="1">
      <w:start w:val="1"/>
      <w:numFmt w:val="decimal"/>
      <w:lvlText w:val="%1.%2."/>
      <w:lvlJc w:val="start"/>
      <w:pPr>
        <w:tabs>
          <w:tab w:val="num" w:pos="360"/>
        </w:tabs>
        <w:ind w:start="360" w:hanging="360"/>
      </w:pPr>
      <w:rPr/>
    </w:lvl>
    <w:lvl w:ilvl="2">
      <w:start w:val="1"/>
      <w:numFmt w:val="decimal"/>
      <w:lvlText w:val="%1.%2.%3."/>
      <w:lvlJc w:val="start"/>
      <w:pPr>
        <w:tabs>
          <w:tab w:val="num" w:pos="360"/>
        </w:tabs>
        <w:ind w:start="360" w:hanging="36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720"/>
        </w:tabs>
        <w:ind w:start="720" w:hanging="720"/>
      </w:pPr>
      <w:rPr/>
    </w:lvl>
    <w:lvl w:ilvl="5">
      <w:start w:val="1"/>
      <w:numFmt w:val="decimal"/>
      <w:lvlText w:val="%1.%2.%3.%4.%5.%6."/>
      <w:lvlJc w:val="start"/>
      <w:pPr>
        <w:tabs>
          <w:tab w:val="num" w:pos="720"/>
        </w:tabs>
        <w:ind w:start="720" w:hanging="720"/>
      </w:pPr>
      <w:rPr/>
    </w:lvl>
    <w:lvl w:ilvl="6">
      <w:start w:val="1"/>
      <w:numFmt w:val="decimal"/>
      <w:lvlText w:val="%1.%2.%3.%4.%5.%6.%7."/>
      <w:lvlJc w:val="start"/>
      <w:pPr>
        <w:tabs>
          <w:tab w:val="num" w:pos="1080"/>
        </w:tabs>
        <w:ind w:start="1080" w:hanging="1080"/>
      </w:pPr>
      <w:rPr/>
    </w:lvl>
    <w:lvl w:ilvl="7">
      <w:start w:val="1"/>
      <w:numFmt w:val="decimal"/>
      <w:lvlText w:val="%1.%2.%3.%4.%5.%6.%7.%8."/>
      <w:lvlJc w:val="start"/>
      <w:pPr>
        <w:tabs>
          <w:tab w:val="num" w:pos="1080"/>
        </w:tabs>
        <w:ind w:start="1080" w:hanging="1080"/>
      </w:pPr>
      <w:rPr/>
    </w:lvl>
    <w:lvl w:ilvl="8">
      <w:start w:val="1"/>
      <w:numFmt w:val="decimal"/>
      <w:lvlText w:val="%1.%2.%3.%4.%5.%6.%7.%8.%9."/>
      <w:lvlJc w:val="start"/>
      <w:pPr>
        <w:tabs>
          <w:tab w:val="num" w:pos="1080"/>
        </w:tabs>
        <w:ind w:start="1080" w:hanging="10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bidi="ar-SA" w:val="ru-RU" w:eastAsia="zh-CN"/>
    </w:rPr>
  </w:style>
  <w:style w:type="paragraph" w:styleId="Heading1">
    <w:name w:val="heading 1"/>
    <w:basedOn w:val="Normal"/>
    <w:next w:val="Normal"/>
    <w:qFormat/>
    <w:pPr>
      <w:keepNext w:val="true"/>
      <w:numPr>
        <w:ilvl w:val="0"/>
        <w:numId w:val="1"/>
      </w:numPr>
      <w:jc w:val="both"/>
      <w:outlineLvl w:val="0"/>
    </w:pPr>
    <w:rPr>
      <w:b/>
      <w:bCs/>
    </w:rPr>
  </w:style>
  <w:style w:type="paragraph" w:styleId="Heading2">
    <w:name w:val="heading 2"/>
    <w:basedOn w:val="Normal"/>
    <w:next w:val="Normal"/>
    <w:qFormat/>
    <w:pPr>
      <w:keepNext w:val="true"/>
      <w:numPr>
        <w:ilvl w:val="1"/>
        <w:numId w:val="1"/>
      </w:numPr>
      <w:jc w:val="both"/>
      <w:outlineLvl w:val="1"/>
    </w:pPr>
    <w:rPr>
      <w:b/>
      <w:i/>
      <w:szCs w:val="20"/>
    </w:rPr>
  </w:style>
  <w:style w:type="paragraph" w:styleId="Heading3">
    <w:name w:val="heading 3"/>
    <w:basedOn w:val="Normal"/>
    <w:next w:val="Normal"/>
    <w:qFormat/>
    <w:pPr>
      <w:keepNext w:val="true"/>
      <w:widowControl w:val="false"/>
      <w:numPr>
        <w:ilvl w:val="2"/>
        <w:numId w:val="1"/>
      </w:numPr>
      <w:snapToGrid w:val="false"/>
      <w:outlineLvl w:val="2"/>
    </w:pPr>
    <w:rPr>
      <w:rFonts w:eastAsia="Arial Unicode MS"/>
      <w:b/>
      <w:sz w:val="20"/>
      <w:szCs w:val="20"/>
    </w:rPr>
  </w:style>
  <w:style w:type="character" w:styleId="WW8Num1z0">
    <w:name w:val="WW8Num1z0"/>
    <w:qFormat/>
    <w:rPr/>
  </w:style>
  <w:style w:type="character" w:styleId="WW8Num2z0">
    <w:name w:val="WW8Num2z0"/>
    <w:qFormat/>
    <w:rPr/>
  </w:style>
  <w:style w:type="character" w:styleId="WW8Num4z0">
    <w:name w:val="WW8Num4z0"/>
    <w:qFormat/>
    <w:rPr/>
  </w:style>
  <w:style w:type="character" w:styleId="WW8Num5z0">
    <w:name w:val="WW8Num5z0"/>
    <w:qFormat/>
    <w:rPr/>
  </w:style>
  <w:style w:type="character" w:styleId="WW8Num5z1">
    <w:name w:val="WW8Num5z1"/>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2z0">
    <w:name w:val="WW8Num12z0"/>
    <w:qFormat/>
    <w:rPr/>
  </w:style>
  <w:style w:type="character" w:styleId="WW8Num12z1">
    <w:name w:val="WW8Num12z1"/>
    <w:qFormat/>
    <w:rPr>
      <w:rFonts w:ascii="Symbol" w:hAnsi="Symbol" w:cs="Symbol"/>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b/>
    </w:rPr>
  </w:style>
  <w:style w:type="character" w:styleId="WW8Num20z0">
    <w:name w:val="WW8Num20z0"/>
    <w:qFormat/>
    <w:rPr/>
  </w:style>
  <w:style w:type="character" w:styleId="WW8Num21z0">
    <w:name w:val="WW8Num21z0"/>
    <w:qFormat/>
    <w:rPr/>
  </w:style>
  <w:style w:type="character" w:styleId="Style11">
    <w:name w:val="Основной шрифт абзаца"/>
    <w:qFormat/>
    <w:rPr/>
  </w:style>
  <w:style w:type="character" w:styleId="Hyperlink">
    <w:name w:val="Hyperlink"/>
    <w:basedOn w:val="Style11"/>
    <w:rPr>
      <w:color w:val="0000FF"/>
      <w:u w:val="single"/>
    </w:rPr>
  </w:style>
  <w:style w:type="character" w:styleId="Style12">
    <w:name w:val="Знак примечания"/>
    <w:basedOn w:val="Style11"/>
    <w:qFormat/>
    <w:rPr>
      <w:sz w:val="16"/>
      <w:szCs w:val="16"/>
    </w:rPr>
  </w:style>
  <w:style w:type="paragraph" w:styleId="Heading">
    <w:name w:val="Heading"/>
    <w:basedOn w:val="Normal"/>
    <w:next w:val="BodyText"/>
    <w:qFormat/>
    <w:pPr>
      <w:jc w:val="center"/>
    </w:pPr>
    <w:rPr>
      <w:b/>
      <w:bCs/>
    </w:rPr>
  </w:style>
  <w:style w:type="paragraph" w:styleId="BodyText">
    <w:name w:val="Body Text"/>
    <w:basedOn w:val="Normal"/>
    <w:pPr>
      <w:jc w:val="both"/>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hanging="720" w:start="1440" w:end="0"/>
      <w:jc w:val="both"/>
    </w:pPr>
    <w:rPr/>
  </w:style>
  <w:style w:type="paragraph" w:styleId="header1">
    <w:name w:val="header1"/>
    <w:basedOn w:val="Normal"/>
    <w:qFormat/>
    <w:pPr>
      <w:widowControl w:val="false"/>
      <w:tabs>
        <w:tab w:val="clear" w:pos="708"/>
        <w:tab w:val="center" w:pos="4153" w:leader="none"/>
        <w:tab w:val="right" w:pos="8306" w:leader="none"/>
      </w:tabs>
    </w:pPr>
    <w:rPr>
      <w:szCs w:val="20"/>
    </w:rPr>
  </w:style>
  <w:style w:type="paragraph" w:styleId="2">
    <w:name w:val="Основной текст 2"/>
    <w:basedOn w:val="Normal"/>
    <w:qFormat/>
    <w:pPr/>
    <w:rPr>
      <w:b/>
      <w:bCs/>
      <w:szCs w:val="20"/>
    </w:rPr>
  </w:style>
  <w:style w:type="paragraph" w:styleId="Style13">
    <w:name w:val="Текст выноски"/>
    <w:basedOn w:val="Normal"/>
    <w:qFormat/>
    <w:pPr/>
    <w:rPr>
      <w:rFonts w:ascii="Tahoma" w:hAnsi="Tahoma" w:cs="Tahoma"/>
      <w:sz w:val="16"/>
      <w:szCs w:val="16"/>
    </w:rPr>
  </w:style>
  <w:style w:type="paragraph" w:styleId="Style14">
    <w:name w:val="Текст примечания"/>
    <w:basedOn w:val="Normal"/>
    <w:qFormat/>
    <w:pPr/>
    <w:rPr>
      <w:sz w:val="20"/>
      <w:szCs w:val="20"/>
    </w:rPr>
  </w:style>
  <w:style w:type="paragraph" w:styleId="Style15">
    <w:name w:val="Тема примечания"/>
    <w:basedOn w:val="Style14"/>
    <w:next w:val="Style14"/>
    <w:qFormat/>
    <w:pPr/>
    <w:rPr>
      <w:b/>
      <w:bC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style>
  <w:style w:type="paragraph" w:styleId="Footer">
    <w:name w:val="footer"/>
    <w:basedOn w:val="Normal"/>
    <w:pPr>
      <w:tabs>
        <w:tab w:val="clear" w:pos="708"/>
        <w:tab w:val="center" w:pos="4677" w:leader="none"/>
        <w:tab w:val="right" w:pos="9355" w:leader="none"/>
      </w:tabs>
    </w:pPr>
    <w:rPr/>
  </w:style>
  <w:style w:type="paragraph" w:styleId="Style16">
    <w:name w:val="Абзац списка"/>
    <w:basedOn w:val="Normal"/>
    <w:qFormat/>
    <w:pPr>
      <w:ind w:hanging="0" w:start="708"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2013-02-18T12:45:00Z</dcterms:created>
  <dc:creator>dogovor-urist.ru</dc:creator>
  <dc:description/>
  <dc:language>ru-RU</dc:language>
  <cp:lastModifiedBy>July</cp:lastModifiedBy>
  <cp:lastPrinted>2011-03-18T09:42:00Z</cp:lastPrinted>
  <dcterms:modified xsi:type="dcterms:W3CDTF">2013-02-18T12:45:00Z</dcterms:modified>
  <cp:revision>2</cp:revision>
  <dc:subject/>
  <dc:title>Агентский договор</dc:title>
</cp:coreProperties>
</file>