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ind w:hanging="0" w:start="0"/>
        <w:jc w:val="center"/>
        <w:rPr>
          <w:b/>
          <w:sz w:val="22"/>
        </w:rPr>
      </w:pPr>
      <w:r>
        <w:rPr>
          <w:b/>
          <w:sz w:val="22"/>
        </w:rPr>
        <w:t xml:space="preserve">ДОГОВОР № </w:t>
      </w:r>
    </w:p>
    <w:p>
      <w:pPr>
        <w:pStyle w:val="Normal"/>
        <w:jc w:val="center"/>
        <w:rPr>
          <w:b/>
          <w:sz w:val="22"/>
        </w:rPr>
      </w:pPr>
      <w:r>
        <w:rPr>
          <w:b/>
          <w:sz w:val="22"/>
        </w:rPr>
        <w:t>Об  экстренном вызове сотрудников Охраны в случаи  угрозы</w:t>
      </w:r>
    </w:p>
    <w:p>
      <w:pPr>
        <w:pStyle w:val="Normal"/>
        <w:jc w:val="center"/>
        <w:rPr>
          <w:b/>
          <w:sz w:val="22"/>
        </w:rPr>
      </w:pPr>
      <w:r>
        <w:rPr>
          <w:b/>
          <w:sz w:val="22"/>
        </w:rPr>
        <w:t>личной или имущественной безопасности Собственника и об охране объекта на ПЦН</w:t>
      </w:r>
    </w:p>
    <w:p>
      <w:pPr>
        <w:pStyle w:val="Normal"/>
        <w:rPr>
          <w:b/>
          <w:sz w:val="22"/>
        </w:rPr>
      </w:pPr>
      <w:r>
        <w:rPr>
          <w:b/>
          <w:sz w:val="22"/>
        </w:rPr>
      </w:r>
    </w:p>
    <w:p>
      <w:pPr>
        <w:pStyle w:val="Normal"/>
        <w:jc w:val="center"/>
        <w:rPr/>
      </w:pPr>
      <w:r>
        <w:rPr>
          <w:sz w:val="20"/>
        </w:rPr>
        <w:t>г. _______________                                                                     «_____» ___________________ 201__ г.</w:t>
      </w:r>
    </w:p>
    <w:p>
      <w:pPr>
        <w:pStyle w:val="Normal"/>
        <w:jc w:val="center"/>
        <w:rPr>
          <w:sz w:val="20"/>
        </w:rPr>
      </w:pPr>
      <w:r>
        <w:rPr>
          <w:sz w:val="20"/>
        </w:rPr>
      </w:r>
    </w:p>
    <w:p>
      <w:pPr>
        <w:pStyle w:val="BodyTextIndent"/>
        <w:ind w:hanging="0" w:end="0"/>
        <w:rPr/>
      </w:pPr>
      <w:r>
        <w:rPr>
          <w:sz w:val="20"/>
        </w:rPr>
        <w:t xml:space="preserve">      </w:t>
      </w:r>
      <w:r>
        <w:rPr>
          <w:b/>
          <w:sz w:val="20"/>
        </w:rPr>
        <w:t>_______________________________________</w:t>
      </w:r>
      <w:r>
        <w:rPr>
          <w:sz w:val="20"/>
        </w:rPr>
        <w:t>, в лице ___________________________________________________, действующего на основании Устава и лицензии   № _______, выданной   _____________________.,  именуемое в дальнейшем “</w:t>
      </w:r>
      <w:r>
        <w:rPr>
          <w:b/>
          <w:sz w:val="20"/>
        </w:rPr>
        <w:t>Охрана</w:t>
      </w:r>
      <w:r>
        <w:rPr>
          <w:sz w:val="20"/>
        </w:rPr>
        <w:t xml:space="preserve">” с одной стороны, и ___________________________________________________________________ именуемое в дальнейшем </w:t>
      </w:r>
      <w:r>
        <w:rPr>
          <w:b/>
          <w:sz w:val="20"/>
        </w:rPr>
        <w:t>«Собственник»</w:t>
      </w:r>
      <w:r>
        <w:rPr>
          <w:sz w:val="20"/>
        </w:rPr>
        <w:t xml:space="preserve">, в лице ___________________________________________________________, ______________________________ действующего на основании Устава, заключили настоящий договор о нижеследующем: </w:t>
      </w:r>
    </w:p>
    <w:p>
      <w:pPr>
        <w:pStyle w:val="Normal"/>
        <w:numPr>
          <w:ilvl w:val="0"/>
          <w:numId w:val="2"/>
        </w:numPr>
        <w:tabs>
          <w:tab w:val="clear" w:pos="720"/>
          <w:tab w:val="left" w:pos="360" w:leader="none"/>
        </w:tabs>
        <w:jc w:val="center"/>
        <w:rPr>
          <w:b/>
          <w:sz w:val="20"/>
        </w:rPr>
      </w:pPr>
      <w:r>
        <w:rPr>
          <w:b/>
          <w:sz w:val="20"/>
        </w:rPr>
        <w:t>ПРЕДМЕТ ДОГОВОРА</w:t>
      </w:r>
    </w:p>
    <w:p>
      <w:pPr>
        <w:pStyle w:val="21"/>
        <w:numPr>
          <w:ilvl w:val="1"/>
          <w:numId w:val="2"/>
        </w:numPr>
        <w:tabs>
          <w:tab w:val="clear" w:pos="720"/>
          <w:tab w:val="left" w:pos="567" w:leader="none"/>
        </w:tabs>
        <w:ind w:firstLine="142" w:start="0" w:end="0"/>
        <w:rPr>
          <w:sz w:val="20"/>
        </w:rPr>
      </w:pPr>
      <w:r>
        <w:rPr>
          <w:sz w:val="20"/>
        </w:rPr>
        <w:t>Собственник передаёт, а Охрана принимает под охрану с помощью пульта централизованного наблюдения – ПЦН объект: _______________________________________, расположенный по адресу:  ___________________________________</w:t>
      </w:r>
    </w:p>
    <w:p>
      <w:pPr>
        <w:pStyle w:val="21"/>
        <w:numPr>
          <w:ilvl w:val="1"/>
          <w:numId w:val="2"/>
        </w:numPr>
        <w:tabs>
          <w:tab w:val="clear" w:pos="720"/>
          <w:tab w:val="left" w:pos="284" w:leader="none"/>
          <w:tab w:val="left" w:pos="567" w:leader="none"/>
          <w:tab w:val="left" w:pos="709" w:leader="none"/>
        </w:tabs>
        <w:ind w:firstLine="142" w:start="0" w:end="0"/>
        <w:rPr>
          <w:sz w:val="20"/>
        </w:rPr>
      </w:pPr>
      <w:r>
        <w:rPr>
          <w:sz w:val="20"/>
        </w:rPr>
        <w:t>Охрана объекта заключается в централизованном круглосуточном наблюдении за ним с помощью технических средств оповещения (ТСО), а также в периодическом наблюдении за объектом во время маршрутного патрулирования оперативной группы.</w:t>
      </w:r>
    </w:p>
    <w:p>
      <w:pPr>
        <w:pStyle w:val="21"/>
        <w:numPr>
          <w:ilvl w:val="1"/>
          <w:numId w:val="2"/>
        </w:numPr>
        <w:tabs>
          <w:tab w:val="clear" w:pos="720"/>
          <w:tab w:val="left" w:pos="284" w:leader="none"/>
          <w:tab w:val="left" w:pos="567" w:leader="none"/>
          <w:tab w:val="left" w:pos="709" w:leader="none"/>
        </w:tabs>
        <w:ind w:firstLine="142" w:start="0" w:end="0"/>
        <w:rPr>
          <w:sz w:val="20"/>
        </w:rPr>
      </w:pPr>
      <w:r>
        <w:rPr>
          <w:sz w:val="20"/>
        </w:rPr>
        <w:t>В случае поступления с объекта на пульт централизованного наблюдения «Охраны» сигнала о срабатывании ТСО либо сигнала «тревога» в случае использования «Собственником» кнопок тревожного оповещения, оперативная группа обязана приехать в течение семи минут и принять меры по задержанию лиц:</w:t>
      </w:r>
    </w:p>
    <w:p>
      <w:pPr>
        <w:pStyle w:val="21"/>
        <w:ind w:firstLine="142" w:start="0" w:end="0"/>
        <w:rPr/>
      </w:pPr>
      <w:r>
        <w:rPr>
          <w:sz w:val="20"/>
        </w:rPr>
        <w:t xml:space="preserve">      </w:t>
      </w:r>
      <w:r>
        <w:rPr>
          <w:sz w:val="20"/>
        </w:rPr>
        <w:t xml:space="preserve">1.3.1. </w:t>
      </w:r>
      <w:r>
        <w:rPr>
          <w:b/>
          <w:sz w:val="20"/>
        </w:rPr>
        <w:t xml:space="preserve">Во время работы объекта </w:t>
      </w:r>
    </w:p>
    <w:p>
      <w:pPr>
        <w:pStyle w:val="21"/>
        <w:numPr>
          <w:ilvl w:val="0"/>
          <w:numId w:val="8"/>
        </w:numPr>
        <w:tabs>
          <w:tab w:val="clear" w:pos="720"/>
          <w:tab w:val="left" w:pos="426" w:leader="none"/>
        </w:tabs>
        <w:ind w:firstLine="142" w:start="0" w:end="0"/>
        <w:rPr>
          <w:sz w:val="20"/>
        </w:rPr>
      </w:pPr>
      <w:r>
        <w:rPr>
          <w:sz w:val="20"/>
        </w:rPr>
        <w:t>Совершивших или совершающих грабёж, разбойное нападение, хулиганские или иные противоправные действия в отношении персонала или имущества Собственника;</w:t>
      </w:r>
    </w:p>
    <w:p>
      <w:pPr>
        <w:pStyle w:val="21"/>
        <w:numPr>
          <w:ilvl w:val="0"/>
          <w:numId w:val="8"/>
        </w:numPr>
        <w:tabs>
          <w:tab w:val="clear" w:pos="720"/>
          <w:tab w:val="left" w:pos="426" w:leader="none"/>
        </w:tabs>
        <w:ind w:firstLine="142" w:start="0" w:end="0"/>
        <w:rPr>
          <w:sz w:val="20"/>
        </w:rPr>
      </w:pPr>
      <w:r>
        <w:rPr>
          <w:sz w:val="20"/>
        </w:rPr>
        <w:t>Совершивших или совершающих мошеннические действия по отношению к лицам, находящимся внутри объекта;</w:t>
      </w:r>
    </w:p>
    <w:p>
      <w:pPr>
        <w:pStyle w:val="21"/>
        <w:numPr>
          <w:ilvl w:val="0"/>
          <w:numId w:val="8"/>
        </w:numPr>
        <w:tabs>
          <w:tab w:val="clear" w:pos="720"/>
          <w:tab w:val="left" w:pos="426" w:leader="none"/>
        </w:tabs>
        <w:ind w:firstLine="142" w:start="0" w:end="0"/>
        <w:rPr>
          <w:sz w:val="20"/>
        </w:rPr>
      </w:pPr>
      <w:r>
        <w:rPr>
          <w:sz w:val="20"/>
        </w:rPr>
        <w:t>Нарушающих общественный порядок внутри объекта или вблизи его и препятствующих нормальному функционированию объекта;</w:t>
      </w:r>
    </w:p>
    <w:p>
      <w:pPr>
        <w:pStyle w:val="21"/>
        <w:numPr>
          <w:ilvl w:val="0"/>
          <w:numId w:val="8"/>
        </w:numPr>
        <w:tabs>
          <w:tab w:val="clear" w:pos="720"/>
          <w:tab w:val="left" w:pos="426" w:leader="none"/>
        </w:tabs>
        <w:ind w:firstLine="142" w:start="0" w:end="0"/>
        <w:rPr>
          <w:sz w:val="20"/>
        </w:rPr>
      </w:pPr>
      <w:r>
        <w:rPr>
          <w:sz w:val="20"/>
        </w:rPr>
        <w:t>Подозреваемых «Собственником» в намерении совершить в отношении персонала или имущества Собственника вышеуказанные действия.</w:t>
      </w:r>
    </w:p>
    <w:p>
      <w:pPr>
        <w:pStyle w:val="21"/>
        <w:ind w:start="0" w:end="0"/>
        <w:rPr/>
      </w:pPr>
      <w:r>
        <w:rPr>
          <w:sz w:val="20"/>
        </w:rPr>
        <w:t xml:space="preserve">        </w:t>
      </w:r>
      <w:r>
        <w:rPr>
          <w:sz w:val="20"/>
        </w:rPr>
        <w:t xml:space="preserve">1.3.2. </w:t>
      </w:r>
      <w:r>
        <w:rPr>
          <w:b/>
          <w:sz w:val="20"/>
        </w:rPr>
        <w:t xml:space="preserve">В нерабочее время </w:t>
      </w:r>
    </w:p>
    <w:p>
      <w:pPr>
        <w:pStyle w:val="21"/>
        <w:numPr>
          <w:ilvl w:val="0"/>
          <w:numId w:val="6"/>
        </w:numPr>
        <w:tabs>
          <w:tab w:val="clear" w:pos="720"/>
          <w:tab w:val="left" w:pos="426" w:leader="none"/>
        </w:tabs>
        <w:ind w:firstLine="142" w:start="0" w:end="0"/>
        <w:rPr>
          <w:sz w:val="20"/>
        </w:rPr>
      </w:pPr>
      <w:r>
        <w:rPr>
          <w:sz w:val="20"/>
        </w:rPr>
        <w:t>Совершающих действия, указанные в п. 1.3.1. настоящего договора, а также осуществляющих проникновение в торговый зал через оконные и наружные или внутренние дверные проёмы, стены, перегородки с целью совершения противоправных действий.</w:t>
      </w:r>
    </w:p>
    <w:p>
      <w:pPr>
        <w:pStyle w:val="21"/>
        <w:numPr>
          <w:ilvl w:val="0"/>
          <w:numId w:val="2"/>
        </w:numPr>
        <w:tabs>
          <w:tab w:val="clear" w:pos="720"/>
          <w:tab w:val="left" w:pos="360" w:leader="none"/>
        </w:tabs>
        <w:jc w:val="center"/>
        <w:rPr>
          <w:b/>
          <w:sz w:val="20"/>
        </w:rPr>
      </w:pPr>
      <w:r>
        <w:rPr>
          <w:b/>
          <w:sz w:val="20"/>
        </w:rPr>
        <w:t>ОБЩИЕ ПОЛОЖЕНИЯ</w:t>
      </w:r>
    </w:p>
    <w:p>
      <w:pPr>
        <w:pStyle w:val="21"/>
        <w:numPr>
          <w:ilvl w:val="1"/>
          <w:numId w:val="2"/>
        </w:numPr>
        <w:tabs>
          <w:tab w:val="clear" w:pos="720"/>
          <w:tab w:val="left" w:pos="567" w:leader="none"/>
        </w:tabs>
        <w:ind w:firstLine="142" w:start="0" w:end="0"/>
        <w:rPr>
          <w:sz w:val="20"/>
        </w:rPr>
      </w:pPr>
      <w:r>
        <w:rPr>
          <w:sz w:val="20"/>
        </w:rPr>
        <w:t xml:space="preserve"> </w:t>
      </w:r>
      <w:r>
        <w:rPr>
          <w:sz w:val="20"/>
        </w:rPr>
        <w:t xml:space="preserve">Тип используемых для охраны объекта ТСО и места их установки определяются «Собственником» и «Охраной» совместно. </w:t>
      </w:r>
    </w:p>
    <w:p>
      <w:pPr>
        <w:pStyle w:val="21"/>
        <w:numPr>
          <w:ilvl w:val="1"/>
          <w:numId w:val="2"/>
        </w:numPr>
        <w:tabs>
          <w:tab w:val="clear" w:pos="720"/>
          <w:tab w:val="left" w:pos="567" w:leader="none"/>
        </w:tabs>
        <w:ind w:firstLine="142" w:start="0" w:end="0"/>
        <w:rPr>
          <w:sz w:val="20"/>
        </w:rPr>
      </w:pPr>
      <w:r>
        <w:rPr>
          <w:sz w:val="20"/>
        </w:rPr>
        <w:t>Охрана гарантирует, что технические возможности используемых на объекте ТСО и ПЦН позволяют осуществлять раздельное централизованное наблюдение за охранной и  средствами тревожного оповещения.</w:t>
      </w:r>
    </w:p>
    <w:p>
      <w:pPr>
        <w:pStyle w:val="21"/>
        <w:numPr>
          <w:ilvl w:val="1"/>
          <w:numId w:val="2"/>
        </w:numPr>
        <w:tabs>
          <w:tab w:val="clear" w:pos="720"/>
          <w:tab w:val="left" w:pos="567" w:leader="none"/>
        </w:tabs>
        <w:ind w:firstLine="142" w:start="0" w:end="0"/>
        <w:rPr>
          <w:sz w:val="20"/>
        </w:rPr>
      </w:pPr>
      <w:r>
        <w:rPr>
          <w:sz w:val="20"/>
        </w:rPr>
        <w:t>Монтаж, ремонт и техническое обслуживание ТСО, подключение их на  пульт централизованного наблюдения (снятие с пульта при расторжении договора), производится за счёт средств Собственника.</w:t>
      </w:r>
    </w:p>
    <w:p>
      <w:pPr>
        <w:pStyle w:val="21"/>
        <w:numPr>
          <w:ilvl w:val="1"/>
          <w:numId w:val="2"/>
        </w:numPr>
        <w:tabs>
          <w:tab w:val="clear" w:pos="720"/>
          <w:tab w:val="left" w:pos="567" w:leader="none"/>
        </w:tabs>
        <w:ind w:firstLine="142" w:start="0" w:end="0"/>
        <w:rPr>
          <w:sz w:val="20"/>
        </w:rPr>
      </w:pPr>
      <w:r>
        <w:rPr>
          <w:sz w:val="20"/>
        </w:rPr>
        <w:t>На объекте Охране должен быть обеспечен свободный доступ к установленным и смонтированным приборам и шлейфам ТСО.</w:t>
      </w:r>
    </w:p>
    <w:p>
      <w:pPr>
        <w:pStyle w:val="21"/>
        <w:numPr>
          <w:ilvl w:val="1"/>
          <w:numId w:val="2"/>
        </w:numPr>
        <w:tabs>
          <w:tab w:val="clear" w:pos="720"/>
          <w:tab w:val="left" w:pos="567" w:leader="none"/>
        </w:tabs>
        <w:ind w:firstLine="142" w:start="0" w:end="0"/>
        <w:rPr>
          <w:sz w:val="20"/>
        </w:rPr>
      </w:pPr>
      <w:r>
        <w:rPr>
          <w:sz w:val="20"/>
        </w:rPr>
        <w:t>Объект оборудуется дежурным освещением, включаемым с наступлением темноты.</w:t>
      </w:r>
    </w:p>
    <w:p>
      <w:pPr>
        <w:pStyle w:val="21"/>
        <w:numPr>
          <w:ilvl w:val="1"/>
          <w:numId w:val="2"/>
        </w:numPr>
        <w:tabs>
          <w:tab w:val="clear" w:pos="720"/>
          <w:tab w:val="left" w:pos="567" w:leader="none"/>
        </w:tabs>
        <w:ind w:firstLine="142" w:start="0" w:end="0"/>
        <w:rPr>
          <w:sz w:val="20"/>
        </w:rPr>
      </w:pPr>
      <w:r>
        <w:rPr>
          <w:sz w:val="20"/>
        </w:rPr>
        <w:t xml:space="preserve">На момент принятия под охрану, объект должен соответствовать следующим требованиям: </w:t>
      </w:r>
    </w:p>
    <w:p>
      <w:pPr>
        <w:pStyle w:val="21"/>
        <w:ind w:start="0" w:end="0"/>
        <w:rPr>
          <w:sz w:val="20"/>
        </w:rPr>
      </w:pPr>
      <w:r>
        <w:rPr>
          <w:sz w:val="20"/>
        </w:rPr>
        <w:t xml:space="preserve">- на оконных проемах решетки, </w:t>
      </w:r>
    </w:p>
    <w:p>
      <w:pPr>
        <w:pStyle w:val="21"/>
        <w:tabs>
          <w:tab w:val="clear" w:pos="720"/>
          <w:tab w:val="left" w:pos="644" w:leader="none"/>
        </w:tabs>
        <w:ind w:start="0" w:end="0"/>
        <w:rPr>
          <w:sz w:val="20"/>
        </w:rPr>
      </w:pPr>
      <w:r>
        <w:rPr>
          <w:sz w:val="20"/>
        </w:rPr>
        <w:t xml:space="preserve">- при наличии не металлических входных дверей, в дверных проемах должны быть установлены раздвижные решетки. </w:t>
      </w:r>
    </w:p>
    <w:p>
      <w:pPr>
        <w:pStyle w:val="21"/>
        <w:numPr>
          <w:ilvl w:val="0"/>
          <w:numId w:val="2"/>
        </w:numPr>
        <w:tabs>
          <w:tab w:val="clear" w:pos="720"/>
          <w:tab w:val="left" w:pos="360" w:leader="none"/>
        </w:tabs>
        <w:jc w:val="center"/>
        <w:rPr>
          <w:b/>
          <w:sz w:val="20"/>
        </w:rPr>
      </w:pPr>
      <w:r>
        <w:rPr>
          <w:b/>
          <w:sz w:val="20"/>
        </w:rPr>
        <w:t>ОБЯЗАННОСТИ ОХРАНЫ</w:t>
      </w:r>
    </w:p>
    <w:p>
      <w:pPr>
        <w:pStyle w:val="21"/>
        <w:numPr>
          <w:ilvl w:val="1"/>
          <w:numId w:val="2"/>
        </w:numPr>
        <w:tabs>
          <w:tab w:val="clear" w:pos="720"/>
          <w:tab w:val="left" w:pos="567" w:leader="none"/>
        </w:tabs>
        <w:ind w:firstLine="142" w:start="0" w:end="0"/>
        <w:rPr>
          <w:sz w:val="20"/>
        </w:rPr>
      </w:pPr>
      <w:r>
        <w:rPr>
          <w:sz w:val="20"/>
        </w:rPr>
        <w:t>Охрана обязана:</w:t>
      </w:r>
    </w:p>
    <w:p>
      <w:pPr>
        <w:pStyle w:val="21"/>
        <w:tabs>
          <w:tab w:val="clear" w:pos="720"/>
          <w:tab w:val="left" w:pos="851" w:leader="none"/>
        </w:tabs>
        <w:ind w:firstLine="360" w:start="0" w:end="0"/>
        <w:rPr>
          <w:sz w:val="20"/>
        </w:rPr>
      </w:pPr>
      <w:r>
        <w:rPr>
          <w:sz w:val="20"/>
        </w:rPr>
        <w:t>3.1.1. Оборудовать объект техническими средствами оповещения (ТСО) и подключить их на ПЦН. Обучить    Собственника правилам    пользования ТСО.</w:t>
      </w:r>
    </w:p>
    <w:p>
      <w:pPr>
        <w:pStyle w:val="21"/>
        <w:tabs>
          <w:tab w:val="clear" w:pos="720"/>
          <w:tab w:val="left" w:pos="851" w:leader="none"/>
        </w:tabs>
        <w:ind w:start="0" w:end="0"/>
        <w:rPr>
          <w:sz w:val="20"/>
        </w:rPr>
      </w:pPr>
      <w:r>
        <w:rPr>
          <w:sz w:val="20"/>
        </w:rPr>
        <w:t>Вести централизованное круглосуточное наблюдение за объектом и при поступлении на ПЦН сигнала о срабатывании средств тревожного оповещения обеспечить немедленный выезд оперативной группы и ее прибытие на объект не позднее семи минут с момента срабатывания.</w:t>
      </w:r>
    </w:p>
    <w:p>
      <w:pPr>
        <w:pStyle w:val="21"/>
        <w:numPr>
          <w:ilvl w:val="2"/>
          <w:numId w:val="5"/>
        </w:numPr>
        <w:tabs>
          <w:tab w:val="clear" w:pos="720"/>
          <w:tab w:val="left" w:pos="851" w:leader="none"/>
        </w:tabs>
        <w:ind w:firstLine="360" w:start="0" w:end="0"/>
        <w:rPr>
          <w:sz w:val="20"/>
        </w:rPr>
      </w:pPr>
      <w:r>
        <w:rPr>
          <w:sz w:val="20"/>
        </w:rPr>
        <w:t xml:space="preserve"> </w:t>
      </w:r>
      <w:r>
        <w:rPr>
          <w:sz w:val="20"/>
        </w:rPr>
        <w:t>Произвести осмотр объекта и при наличии признаков проникновения на объект посторонних лиц в нерабочее время известить Собственника и вызвать его к месту происшествия. До прибытия Собственника осуществлять охрану объекта. Охрана объекта в этом случае осуществляется бесплатно в течение одного часа с момента вызова Собственника. По истечении установленного времени охрана объекта осуществляется за дополнительную плату (из расчета стоимости поста за каждый час охраны).</w:t>
      </w:r>
    </w:p>
    <w:p>
      <w:pPr>
        <w:pStyle w:val="21"/>
        <w:numPr>
          <w:ilvl w:val="2"/>
          <w:numId w:val="5"/>
        </w:numPr>
        <w:tabs>
          <w:tab w:val="clear" w:pos="720"/>
          <w:tab w:val="left" w:pos="851" w:leader="none"/>
        </w:tabs>
        <w:ind w:firstLine="360" w:start="0" w:end="0"/>
        <w:rPr>
          <w:sz w:val="20"/>
        </w:rPr>
      </w:pPr>
      <w:r>
        <w:rPr>
          <w:sz w:val="20"/>
        </w:rPr>
        <w:t xml:space="preserve"> </w:t>
      </w:r>
      <w:r>
        <w:rPr>
          <w:sz w:val="20"/>
        </w:rPr>
        <w:t>В случае прибытия на объект по сигналу «тревога» в результате использования Собственником средств тревожного оповещения в рабочее или в нерабочее время принять меры к выяснению причин вызова Охраны и действовать на объекте исходя из сложившейся обстановки для ее разрешения.</w:t>
      </w:r>
    </w:p>
    <w:p>
      <w:pPr>
        <w:pStyle w:val="21"/>
        <w:numPr>
          <w:ilvl w:val="2"/>
          <w:numId w:val="5"/>
        </w:numPr>
        <w:tabs>
          <w:tab w:val="clear" w:pos="720"/>
          <w:tab w:val="left" w:pos="851" w:leader="none"/>
        </w:tabs>
        <w:ind w:firstLine="360" w:start="0" w:end="0"/>
        <w:rPr>
          <w:sz w:val="20"/>
        </w:rPr>
      </w:pPr>
      <w:r>
        <w:rPr>
          <w:sz w:val="20"/>
        </w:rPr>
        <w:t xml:space="preserve"> </w:t>
      </w:r>
      <w:r>
        <w:rPr>
          <w:sz w:val="20"/>
        </w:rPr>
        <w:t>О факте проникновения на объект или причинения ущерба персоналу или имуществу Собственника, а также о фактах противоправных действий на объекте, предусмотренных в п. 1.3.1. настоящего договора сообщить в дежурную часть органов милиции. Принять меры к пресечению противоправных действий, по возможности задержать нарушителей и доставить их в органы милиции.</w:t>
      </w:r>
    </w:p>
    <w:p>
      <w:pPr>
        <w:pStyle w:val="21"/>
        <w:numPr>
          <w:ilvl w:val="2"/>
          <w:numId w:val="5"/>
        </w:numPr>
        <w:tabs>
          <w:tab w:val="clear" w:pos="720"/>
          <w:tab w:val="left" w:pos="851" w:leader="none"/>
        </w:tabs>
        <w:ind w:firstLine="360" w:start="0" w:end="0"/>
        <w:rPr>
          <w:sz w:val="20"/>
        </w:rPr>
      </w:pPr>
      <w:r>
        <w:rPr>
          <w:sz w:val="20"/>
        </w:rPr>
        <w:t>При наличии заявления Собственника о причиненном ущербе участвовать в определении размера ущерба и в снятии остатков товарно-материальных ценностей.</w:t>
      </w:r>
    </w:p>
    <w:p>
      <w:pPr>
        <w:pStyle w:val="21"/>
        <w:tabs>
          <w:tab w:val="clear" w:pos="720"/>
          <w:tab w:val="left" w:pos="567" w:leader="none"/>
        </w:tabs>
        <w:ind w:firstLine="142" w:start="0" w:end="0"/>
        <w:rPr/>
      </w:pPr>
      <w:r>
        <w:rPr>
          <w:sz w:val="20"/>
        </w:rPr>
        <w:t>3.2. Для повышения эффективности охраны, повышения бдительности информировать Собственника о наиболее показательных фактах и статистике противоправных действий в г. __________________ в отношении объектов, аналогичных охраняемому.</w:t>
      </w:r>
    </w:p>
    <w:p>
      <w:pPr>
        <w:pStyle w:val="21"/>
        <w:tabs>
          <w:tab w:val="clear" w:pos="720"/>
          <w:tab w:val="left" w:pos="851" w:leader="none"/>
        </w:tabs>
        <w:ind w:firstLine="426" w:start="0" w:end="0"/>
        <w:rPr>
          <w:sz w:val="20"/>
        </w:rPr>
      </w:pPr>
      <w:r>
        <w:rPr>
          <w:sz w:val="20"/>
        </w:rPr>
      </w:r>
    </w:p>
    <w:p>
      <w:pPr>
        <w:pStyle w:val="21"/>
        <w:numPr>
          <w:ilvl w:val="0"/>
          <w:numId w:val="2"/>
        </w:numPr>
        <w:tabs>
          <w:tab w:val="clear" w:pos="720"/>
          <w:tab w:val="left" w:pos="360" w:leader="none"/>
        </w:tabs>
        <w:jc w:val="center"/>
        <w:rPr>
          <w:b/>
          <w:sz w:val="20"/>
        </w:rPr>
      </w:pPr>
      <w:r>
        <w:rPr>
          <w:b/>
          <w:sz w:val="20"/>
        </w:rPr>
        <w:t>ОБЯЗАННОСТИ СОБСТВЕННИКА</w:t>
      </w:r>
    </w:p>
    <w:p>
      <w:pPr>
        <w:pStyle w:val="21"/>
        <w:tabs>
          <w:tab w:val="clear" w:pos="720"/>
          <w:tab w:val="left" w:pos="567" w:leader="none"/>
        </w:tabs>
        <w:ind w:firstLine="142" w:start="0" w:end="0"/>
        <w:rPr/>
      </w:pPr>
      <w:r>
        <w:rPr>
          <w:sz w:val="20"/>
        </w:rPr>
        <w:t>4.1.  Собственник обязан:</w:t>
      </w:r>
    </w:p>
    <w:p>
      <w:pPr>
        <w:pStyle w:val="21"/>
        <w:tabs>
          <w:tab w:val="clear" w:pos="720"/>
          <w:tab w:val="left" w:pos="993" w:leader="none"/>
        </w:tabs>
        <w:ind w:firstLine="426" w:start="0" w:end="0"/>
        <w:rPr/>
      </w:pPr>
      <w:r>
        <w:rPr>
          <w:sz w:val="20"/>
        </w:rPr>
        <w:t>4.1.1.  При закрытии объекта сделать установку, а в случае возникновения обстоятельств, указанных в  п.1.3. договора, нажать кнопку тревожного оповещения для экстренного вызова оперативной группы.</w:t>
      </w:r>
    </w:p>
    <w:p>
      <w:pPr>
        <w:pStyle w:val="21"/>
        <w:numPr>
          <w:ilvl w:val="2"/>
          <w:numId w:val="4"/>
        </w:numPr>
        <w:tabs>
          <w:tab w:val="clear" w:pos="720"/>
          <w:tab w:val="left" w:pos="993" w:leader="none"/>
          <w:tab w:val="left" w:pos="1146" w:leader="none"/>
        </w:tabs>
        <w:ind w:firstLine="426" w:start="0" w:end="0"/>
        <w:rPr>
          <w:sz w:val="20"/>
        </w:rPr>
      </w:pPr>
      <w:r>
        <w:rPr>
          <w:sz w:val="20"/>
        </w:rPr>
        <w:t>Осуществлять определенные договором и актом обследования мероприятия по технической укрепленности объекта и оборудовать его средствами ТСО в установленные актом сроки. Создавать надлежащие условия для обеспечения сохранности материальных ценностей, содействовать Охране при исполнении ею своих задач.</w:t>
      </w:r>
    </w:p>
    <w:p>
      <w:pPr>
        <w:pStyle w:val="21"/>
        <w:numPr>
          <w:ilvl w:val="2"/>
          <w:numId w:val="4"/>
        </w:numPr>
        <w:tabs>
          <w:tab w:val="clear" w:pos="720"/>
          <w:tab w:val="left" w:pos="993" w:leader="none"/>
          <w:tab w:val="left" w:pos="1146" w:leader="none"/>
        </w:tabs>
        <w:ind w:firstLine="426" w:start="0" w:end="0"/>
        <w:rPr>
          <w:sz w:val="20"/>
        </w:rPr>
      </w:pPr>
      <w:r>
        <w:rPr>
          <w:sz w:val="20"/>
        </w:rPr>
        <w:t>Определить приказом состав лиц ответственных, за сдачу под охрану и снятие объекта с охраны, своевременно информировать Охрану об изменении в составе указанных лиц.</w:t>
      </w:r>
    </w:p>
    <w:p>
      <w:pPr>
        <w:pStyle w:val="21"/>
        <w:numPr>
          <w:ilvl w:val="2"/>
          <w:numId w:val="4"/>
        </w:numPr>
        <w:tabs>
          <w:tab w:val="clear" w:pos="720"/>
          <w:tab w:val="left" w:pos="993" w:leader="none"/>
          <w:tab w:val="left" w:pos="1146" w:leader="none"/>
        </w:tabs>
        <w:ind w:firstLine="426" w:start="0" w:end="0"/>
        <w:rPr>
          <w:sz w:val="20"/>
        </w:rPr>
      </w:pPr>
      <w:r>
        <w:rPr>
          <w:sz w:val="20"/>
        </w:rPr>
        <w:t>Перед сдачей объекта под охрану, проверить охраняемые помещения на отсутствие в них посторонних лиц, включенных электроприборов и других источников огня. Закрыть окна, форточки, витрины, люки, наружные двери, также внутренние двери, блокируемые охранной сигнализацией, на запорные устройства и замки.</w:t>
      </w:r>
    </w:p>
    <w:p>
      <w:pPr>
        <w:pStyle w:val="21"/>
        <w:numPr>
          <w:ilvl w:val="2"/>
          <w:numId w:val="4"/>
        </w:numPr>
        <w:tabs>
          <w:tab w:val="clear" w:pos="720"/>
          <w:tab w:val="left" w:pos="993" w:leader="none"/>
          <w:tab w:val="left" w:pos="1146" w:leader="none"/>
        </w:tabs>
        <w:ind w:firstLine="426" w:start="0" w:end="0"/>
        <w:rPr>
          <w:sz w:val="20"/>
        </w:rPr>
      </w:pPr>
      <w:r>
        <w:rPr>
          <w:sz w:val="20"/>
        </w:rPr>
        <w:t>В случае неисправности ТСО немедленно уведомлять охрану и не покидать объект до устранения неисправности при передаче объекта Охране в установленном соглашением сторон порядка.</w:t>
      </w:r>
    </w:p>
    <w:p>
      <w:pPr>
        <w:pStyle w:val="21"/>
        <w:numPr>
          <w:ilvl w:val="2"/>
          <w:numId w:val="4"/>
        </w:numPr>
        <w:tabs>
          <w:tab w:val="clear" w:pos="720"/>
          <w:tab w:val="left" w:pos="993" w:leader="none"/>
          <w:tab w:val="left" w:pos="1146" w:leader="none"/>
        </w:tabs>
        <w:ind w:firstLine="426" w:start="0" w:end="0"/>
        <w:rPr>
          <w:sz w:val="20"/>
        </w:rPr>
      </w:pPr>
      <w:r>
        <w:rPr>
          <w:sz w:val="20"/>
        </w:rPr>
        <w:t>Денежные средства, драгоценные металлы и изделия из них, ценные бумаги, оружие и пр. хранить в кассе предприятия оборудованной согласно действующего законодательства. Сохранять лимит остатка денежных средств.</w:t>
      </w:r>
    </w:p>
    <w:p>
      <w:pPr>
        <w:pStyle w:val="21"/>
        <w:numPr>
          <w:ilvl w:val="2"/>
          <w:numId w:val="4"/>
        </w:numPr>
        <w:tabs>
          <w:tab w:val="clear" w:pos="720"/>
          <w:tab w:val="left" w:pos="993" w:leader="none"/>
          <w:tab w:val="left" w:pos="1146" w:leader="none"/>
        </w:tabs>
        <w:ind w:firstLine="426" w:start="0" w:end="0"/>
        <w:rPr>
          <w:sz w:val="20"/>
        </w:rPr>
      </w:pPr>
      <w:r>
        <w:rPr>
          <w:sz w:val="20"/>
        </w:rPr>
        <w:t>Соблюдать в тайне и не разглашать посторонним лицам принципы и систему охраны объекта, а также присвоение условного номера. Не допускать к работам по обслуживанию ТСО лиц, не уполномоченных на то охраной. Соблюдать правила эксплуатации ТСО.</w:t>
      </w:r>
    </w:p>
    <w:p>
      <w:pPr>
        <w:pStyle w:val="21"/>
        <w:numPr>
          <w:ilvl w:val="1"/>
          <w:numId w:val="4"/>
        </w:numPr>
        <w:tabs>
          <w:tab w:val="clear" w:pos="720"/>
          <w:tab w:val="left" w:pos="567" w:leader="none"/>
        </w:tabs>
        <w:ind w:firstLine="142" w:start="0" w:end="0"/>
        <w:rPr>
          <w:sz w:val="20"/>
        </w:rPr>
      </w:pPr>
      <w:r>
        <w:rPr>
          <w:sz w:val="20"/>
        </w:rPr>
        <w:t>Лицам ответственным за сдачу под охрану и снятие с охраны объекта:</w:t>
      </w:r>
    </w:p>
    <w:p>
      <w:pPr>
        <w:pStyle w:val="21"/>
        <w:numPr>
          <w:ilvl w:val="0"/>
          <w:numId w:val="3"/>
        </w:numPr>
        <w:tabs>
          <w:tab w:val="clear" w:pos="720"/>
          <w:tab w:val="left" w:pos="567" w:leader="none"/>
        </w:tabs>
        <w:ind w:firstLine="284" w:start="0" w:end="0"/>
        <w:rPr>
          <w:sz w:val="20"/>
        </w:rPr>
      </w:pPr>
      <w:r>
        <w:rPr>
          <w:sz w:val="20"/>
        </w:rPr>
        <w:t>Прибывать к объекту по вызову Охраны в течение одного часа для последующего вскрытия объекта его осмотра и передачи под охрану в установленном порядке.</w:t>
      </w:r>
    </w:p>
    <w:p>
      <w:pPr>
        <w:pStyle w:val="21"/>
        <w:numPr>
          <w:ilvl w:val="0"/>
          <w:numId w:val="3"/>
        </w:numPr>
        <w:tabs>
          <w:tab w:val="clear" w:pos="720"/>
          <w:tab w:val="left" w:pos="567" w:leader="none"/>
        </w:tabs>
        <w:ind w:firstLine="284" w:start="0" w:end="0"/>
        <w:rPr>
          <w:sz w:val="20"/>
        </w:rPr>
      </w:pPr>
      <w:r>
        <w:rPr>
          <w:sz w:val="20"/>
        </w:rPr>
        <w:t>В срок не позднее, чем за 10 дней сообщать Охране о предстоящих ремонтах и перепланировках помещений, изменении мест хранения ценностей, режима работы и проведении каких либо иных мероприятий, вследствие которых может потребоваться изменение характера охраны, дислокация постов или дополнительное оборудование ТСО.</w:t>
      </w:r>
    </w:p>
    <w:p>
      <w:pPr>
        <w:pStyle w:val="21"/>
        <w:numPr>
          <w:ilvl w:val="0"/>
          <w:numId w:val="3"/>
        </w:numPr>
        <w:tabs>
          <w:tab w:val="clear" w:pos="720"/>
          <w:tab w:val="left" w:pos="567" w:leader="none"/>
        </w:tabs>
        <w:ind w:firstLine="284" w:start="0" w:end="0"/>
        <w:rPr>
          <w:sz w:val="20"/>
        </w:rPr>
      </w:pPr>
      <w:r>
        <w:rPr>
          <w:sz w:val="20"/>
        </w:rPr>
        <w:t>Сообщать Охране обо всех недостатках и нарушениях в ее работе для принятия своевременных мер.</w:t>
      </w:r>
    </w:p>
    <w:p>
      <w:pPr>
        <w:pStyle w:val="21"/>
        <w:numPr>
          <w:ilvl w:val="1"/>
          <w:numId w:val="4"/>
        </w:numPr>
        <w:tabs>
          <w:tab w:val="clear" w:pos="720"/>
          <w:tab w:val="left" w:pos="567" w:leader="none"/>
        </w:tabs>
        <w:ind w:firstLine="142" w:start="0" w:end="0"/>
        <w:rPr>
          <w:sz w:val="20"/>
        </w:rPr>
      </w:pPr>
      <w:r>
        <w:rPr>
          <w:sz w:val="20"/>
        </w:rPr>
        <w:t>Перед снятием объекта с охраны произвести его осмотр на предмет целостности оттисков контрольных печатей, также окон, дверей, запоров и других строительных конструкций.</w:t>
      </w:r>
    </w:p>
    <w:p>
      <w:pPr>
        <w:pStyle w:val="21"/>
        <w:numPr>
          <w:ilvl w:val="1"/>
          <w:numId w:val="4"/>
        </w:numPr>
        <w:tabs>
          <w:tab w:val="clear" w:pos="720"/>
          <w:tab w:val="left" w:pos="567" w:leader="none"/>
        </w:tabs>
        <w:ind w:firstLine="142" w:start="0" w:end="0"/>
        <w:rPr>
          <w:sz w:val="20"/>
        </w:rPr>
      </w:pPr>
      <w:r>
        <w:rPr>
          <w:sz w:val="20"/>
        </w:rPr>
        <w:t xml:space="preserve">В случае нарушения целостности охраняемого объекта или причинении ущерба повреждением имущества сообщить об этом Охране и до прибытия ее представителей обеспечить неприкосновенность места происшествия. </w:t>
      </w:r>
    </w:p>
    <w:p>
      <w:pPr>
        <w:pStyle w:val="21"/>
        <w:numPr>
          <w:ilvl w:val="1"/>
          <w:numId w:val="4"/>
        </w:numPr>
        <w:tabs>
          <w:tab w:val="clear" w:pos="720"/>
          <w:tab w:val="left" w:pos="567" w:leader="none"/>
        </w:tabs>
        <w:ind w:firstLine="142" w:start="0" w:end="0"/>
        <w:rPr>
          <w:sz w:val="20"/>
        </w:rPr>
      </w:pPr>
      <w:r>
        <w:rPr>
          <w:sz w:val="20"/>
        </w:rPr>
        <w:t>Снятие остатков товарно-материальных ценностей для определения размеров причиненного ущерба кражей производить с обязательным присутствием ответственных представителей Охраны.</w:t>
      </w:r>
    </w:p>
    <w:p>
      <w:pPr>
        <w:pStyle w:val="21"/>
        <w:numPr>
          <w:ilvl w:val="1"/>
          <w:numId w:val="4"/>
        </w:numPr>
        <w:tabs>
          <w:tab w:val="clear" w:pos="720"/>
          <w:tab w:val="left" w:pos="567" w:leader="none"/>
        </w:tabs>
        <w:ind w:firstLine="142" w:start="0" w:end="0"/>
        <w:rPr>
          <w:sz w:val="20"/>
        </w:rPr>
      </w:pPr>
      <w:r>
        <w:rPr>
          <w:sz w:val="20"/>
        </w:rPr>
        <w:t>При заключении договора, по требованию Охраны участвовать в составлении акта о технической укрепленности объекта совместно с представителем Охраны, при необходимости выполнить требования по тех. укрепленности объекта.</w:t>
      </w:r>
    </w:p>
    <w:p>
      <w:pPr>
        <w:pStyle w:val="21"/>
        <w:numPr>
          <w:ilvl w:val="1"/>
          <w:numId w:val="4"/>
        </w:numPr>
        <w:tabs>
          <w:tab w:val="clear" w:pos="720"/>
          <w:tab w:val="left" w:pos="567" w:leader="none"/>
        </w:tabs>
        <w:ind w:firstLine="142" w:start="0" w:end="0"/>
        <w:rPr>
          <w:sz w:val="20"/>
        </w:rPr>
      </w:pPr>
      <w:r>
        <w:rPr>
          <w:sz w:val="20"/>
        </w:rPr>
        <w:t>В случае реорганизации или ликвидации Собственника, как юридического лица, в десятидневный срок с момента принятия решения письменно сообщить об этом Охране и произвести с ней расчеты за оказанные Охраной услуги.</w:t>
      </w:r>
    </w:p>
    <w:p>
      <w:pPr>
        <w:pStyle w:val="21"/>
        <w:numPr>
          <w:ilvl w:val="0"/>
          <w:numId w:val="2"/>
        </w:numPr>
        <w:tabs>
          <w:tab w:val="clear" w:pos="720"/>
          <w:tab w:val="left" w:pos="360" w:leader="none"/>
        </w:tabs>
        <w:jc w:val="center"/>
        <w:rPr>
          <w:b/>
          <w:sz w:val="20"/>
        </w:rPr>
      </w:pPr>
      <w:r>
        <w:rPr>
          <w:b/>
          <w:sz w:val="20"/>
        </w:rPr>
        <w:t>ОТВЕТСТВЕННОСТЬ ОХРАНЫ</w:t>
      </w:r>
    </w:p>
    <w:p>
      <w:pPr>
        <w:pStyle w:val="21"/>
        <w:numPr>
          <w:ilvl w:val="1"/>
          <w:numId w:val="2"/>
        </w:numPr>
        <w:tabs>
          <w:tab w:val="clear" w:pos="720"/>
          <w:tab w:val="left" w:pos="567" w:leader="none"/>
        </w:tabs>
        <w:ind w:firstLine="142" w:start="0" w:end="0"/>
        <w:rPr>
          <w:sz w:val="20"/>
        </w:rPr>
      </w:pPr>
      <w:r>
        <w:rPr>
          <w:sz w:val="20"/>
        </w:rPr>
        <w:t>Охрана несет материальную ответственность перед Собственником за ущерб, причиненный по вине Охраны в случае несвоевременного прибытия оперативной группы на место происшествия после вызова. Охрана не несет ответственности за ущерб, причиненный на охраняемом объекте имуществу третьих лиц.</w:t>
      </w:r>
    </w:p>
    <w:p>
      <w:pPr>
        <w:pStyle w:val="21"/>
        <w:numPr>
          <w:ilvl w:val="1"/>
          <w:numId w:val="2"/>
        </w:numPr>
        <w:tabs>
          <w:tab w:val="clear" w:pos="720"/>
          <w:tab w:val="left" w:pos="567" w:leader="none"/>
        </w:tabs>
        <w:ind w:firstLine="142" w:start="0" w:end="0"/>
        <w:rPr>
          <w:sz w:val="20"/>
        </w:rPr>
      </w:pPr>
      <w:r>
        <w:rPr>
          <w:sz w:val="20"/>
        </w:rPr>
        <w:t>Размер ущерба, причиненного, Собственнику в результате кражи или предусмотренных п.1.3. договора действий лиц, устанавливается исходя из оценки ущерба Собственником с участием представителей Охраны.</w:t>
      </w:r>
    </w:p>
    <w:p>
      <w:pPr>
        <w:pStyle w:val="21"/>
        <w:numPr>
          <w:ilvl w:val="1"/>
          <w:numId w:val="2"/>
        </w:numPr>
        <w:tabs>
          <w:tab w:val="clear" w:pos="720"/>
          <w:tab w:val="left" w:pos="567" w:leader="none"/>
        </w:tabs>
        <w:ind w:firstLine="142" w:start="0" w:end="0"/>
        <w:rPr>
          <w:sz w:val="20"/>
        </w:rPr>
      </w:pPr>
      <w:r>
        <w:rPr>
          <w:sz w:val="20"/>
        </w:rPr>
        <w:t>Возмещение Собственнику причиненного по вине Охраны ущерба производится Охраной в 30 -дневный срок с момента определения размера ущерба.</w:t>
      </w:r>
    </w:p>
    <w:p>
      <w:pPr>
        <w:pStyle w:val="21"/>
        <w:numPr>
          <w:ilvl w:val="1"/>
          <w:numId w:val="2"/>
        </w:numPr>
        <w:tabs>
          <w:tab w:val="clear" w:pos="720"/>
          <w:tab w:val="left" w:pos="567" w:leader="none"/>
        </w:tabs>
        <w:ind w:firstLine="142" w:start="0" w:end="0"/>
        <w:rPr>
          <w:sz w:val="20"/>
        </w:rPr>
      </w:pPr>
      <w:r>
        <w:rPr>
          <w:sz w:val="20"/>
        </w:rPr>
        <w:t>В случае обнаружения виновных лиц имущественный ущерб взыскивается с них Охраной. При возвращении Собственнику похищенных товаров  присутствие ответственных представителей Охраны является обязательным. Стоимость материальных ценностей возвращенных Собственнику исключается из общей суммы требований, предъявленных Собственником, а ранее оплаченная сумма за эти ценности возвращается Охране. Потеря стоимости возвращаемых ценностей оформляется актом с участием ответственных представителей обоих сторон и компетентных лиц для определения процента годности указанных ценностей. В этом случае Охрана возвращает Собственнику сумму уценки.</w:t>
      </w:r>
    </w:p>
    <w:p>
      <w:pPr>
        <w:pStyle w:val="21"/>
        <w:numPr>
          <w:ilvl w:val="1"/>
          <w:numId w:val="2"/>
        </w:numPr>
        <w:tabs>
          <w:tab w:val="clear" w:pos="720"/>
          <w:tab w:val="left" w:pos="567" w:leader="none"/>
        </w:tabs>
        <w:ind w:firstLine="142" w:start="0" w:end="0"/>
        <w:rPr>
          <w:sz w:val="20"/>
        </w:rPr>
      </w:pPr>
      <w:r>
        <w:rPr>
          <w:sz w:val="20"/>
        </w:rPr>
        <w:t>Охрана освобождается от ответственности лишь в том случае, если она докажет отсутствие своей вины, в том числе</w:t>
      </w:r>
    </w:p>
    <w:p>
      <w:pPr>
        <w:pStyle w:val="21"/>
        <w:tabs>
          <w:tab w:val="clear" w:pos="720"/>
          <w:tab w:val="left" w:pos="644" w:leader="none"/>
        </w:tabs>
        <w:ind w:start="0" w:end="0"/>
        <w:rPr>
          <w:sz w:val="20"/>
        </w:rPr>
      </w:pPr>
      <w:r>
        <w:rPr>
          <w:sz w:val="20"/>
        </w:rPr>
        <w:t xml:space="preserve"> </w:t>
      </w:r>
      <w:r>
        <w:rPr>
          <w:sz w:val="20"/>
        </w:rPr>
        <w:t>Охрана не несет ответственности за:</w:t>
      </w:r>
    </w:p>
    <w:p>
      <w:pPr>
        <w:pStyle w:val="21"/>
        <w:numPr>
          <w:ilvl w:val="0"/>
          <w:numId w:val="7"/>
        </w:numPr>
        <w:tabs>
          <w:tab w:val="clear" w:pos="720"/>
          <w:tab w:val="left" w:pos="567" w:leader="none"/>
        </w:tabs>
        <w:ind w:firstLine="284" w:start="0" w:end="0"/>
        <w:rPr>
          <w:sz w:val="20"/>
        </w:rPr>
      </w:pPr>
      <w:r>
        <w:rPr>
          <w:sz w:val="20"/>
        </w:rPr>
        <w:t>Имущественный ущерб, причиненный стихийным бедствием, авариями коммунальных сетей, действиями лиц при массовых беспорядках, а также действиями работников Охраны, произведенных в силу крайней необходимости при задержании лиц, совершивших противоправные действия и проникших на охраняемый объект;</w:t>
      </w:r>
    </w:p>
    <w:p>
      <w:pPr>
        <w:pStyle w:val="21"/>
        <w:numPr>
          <w:ilvl w:val="0"/>
          <w:numId w:val="7"/>
        </w:numPr>
        <w:tabs>
          <w:tab w:val="clear" w:pos="720"/>
          <w:tab w:val="left" w:pos="567" w:leader="none"/>
        </w:tabs>
        <w:ind w:firstLine="284" w:start="0" w:end="0"/>
        <w:rPr>
          <w:sz w:val="20"/>
        </w:rPr>
      </w:pPr>
      <w:r>
        <w:rPr>
          <w:sz w:val="20"/>
        </w:rPr>
        <w:t>Ущерб, причиненный при отключении электроэнергии, более чем на двенадцать часов, если это послужило препятствием к осуществлению охраны;</w:t>
      </w:r>
    </w:p>
    <w:p>
      <w:pPr>
        <w:pStyle w:val="21"/>
        <w:numPr>
          <w:ilvl w:val="0"/>
          <w:numId w:val="7"/>
        </w:numPr>
        <w:tabs>
          <w:tab w:val="clear" w:pos="720"/>
          <w:tab w:val="left" w:pos="567" w:leader="none"/>
        </w:tabs>
        <w:ind w:firstLine="284" w:start="0" w:end="0"/>
        <w:rPr>
          <w:sz w:val="20"/>
        </w:rPr>
      </w:pPr>
      <w:r>
        <w:rPr>
          <w:sz w:val="20"/>
        </w:rPr>
        <w:t>Ущерб, причиненный при сбоях в работе операторов сотовой связи (__________), если это послужило препятствием к осуществлению охраны;</w:t>
      </w:r>
    </w:p>
    <w:p>
      <w:pPr>
        <w:pStyle w:val="21"/>
        <w:numPr>
          <w:ilvl w:val="0"/>
          <w:numId w:val="7"/>
        </w:numPr>
        <w:tabs>
          <w:tab w:val="clear" w:pos="720"/>
          <w:tab w:val="left" w:pos="567" w:leader="none"/>
        </w:tabs>
        <w:ind w:firstLine="284" w:start="0" w:end="0"/>
        <w:rPr>
          <w:sz w:val="20"/>
        </w:rPr>
      </w:pPr>
      <w:r>
        <w:rPr>
          <w:sz w:val="20"/>
        </w:rPr>
        <w:t>Кражу денежных средств, драгоценных металлов, ценных бумаг, оружия, хранящихся с нарушением условий п. 4.1.6. настоящего договора;</w:t>
      </w:r>
    </w:p>
    <w:p>
      <w:pPr>
        <w:pStyle w:val="21"/>
        <w:numPr>
          <w:ilvl w:val="0"/>
          <w:numId w:val="7"/>
        </w:numPr>
        <w:tabs>
          <w:tab w:val="clear" w:pos="720"/>
          <w:tab w:val="left" w:pos="567" w:leader="none"/>
        </w:tabs>
        <w:ind w:firstLine="284" w:start="0" w:end="0"/>
        <w:rPr>
          <w:sz w:val="20"/>
        </w:rPr>
      </w:pPr>
      <w:r>
        <w:rPr>
          <w:sz w:val="20"/>
        </w:rPr>
        <w:t>Имущественный ущерб, понесенный Собственником в результате мошеннических действий третьих лиц;</w:t>
      </w:r>
    </w:p>
    <w:p>
      <w:pPr>
        <w:pStyle w:val="21"/>
        <w:numPr>
          <w:ilvl w:val="0"/>
          <w:numId w:val="7"/>
        </w:numPr>
        <w:tabs>
          <w:tab w:val="clear" w:pos="720"/>
          <w:tab w:val="left" w:pos="567" w:leader="none"/>
        </w:tabs>
        <w:ind w:firstLine="284" w:start="0" w:end="0"/>
        <w:rPr>
          <w:sz w:val="20"/>
        </w:rPr>
      </w:pPr>
      <w:r>
        <w:rPr>
          <w:sz w:val="20"/>
        </w:rPr>
        <w:t>Кражу личного имущества работников Собственника и иных физических лиц;</w:t>
      </w:r>
    </w:p>
    <w:p>
      <w:pPr>
        <w:pStyle w:val="21"/>
        <w:numPr>
          <w:ilvl w:val="0"/>
          <w:numId w:val="7"/>
        </w:numPr>
        <w:tabs>
          <w:tab w:val="clear" w:pos="720"/>
          <w:tab w:val="left" w:pos="567" w:leader="none"/>
        </w:tabs>
        <w:ind w:firstLine="284" w:start="0" w:end="0"/>
        <w:rPr>
          <w:sz w:val="20"/>
        </w:rPr>
      </w:pPr>
      <w:r>
        <w:rPr>
          <w:sz w:val="20"/>
        </w:rPr>
        <w:t>Ущерб, причиненный преступником, проникшим на объект, до его закрытия и сдачи под охрану;</w:t>
      </w:r>
    </w:p>
    <w:p>
      <w:pPr>
        <w:pStyle w:val="21"/>
        <w:numPr>
          <w:ilvl w:val="0"/>
          <w:numId w:val="7"/>
        </w:numPr>
        <w:tabs>
          <w:tab w:val="clear" w:pos="720"/>
          <w:tab w:val="left" w:pos="567" w:leader="none"/>
        </w:tabs>
        <w:ind w:firstLine="284" w:start="0" w:end="0"/>
        <w:rPr>
          <w:sz w:val="20"/>
        </w:rPr>
      </w:pPr>
      <w:r>
        <w:rPr>
          <w:sz w:val="20"/>
        </w:rPr>
        <w:t>Кражу материальных ценностей, выставленных в витринах объекта;</w:t>
      </w:r>
    </w:p>
    <w:p>
      <w:pPr>
        <w:pStyle w:val="21"/>
        <w:numPr>
          <w:ilvl w:val="0"/>
          <w:numId w:val="7"/>
        </w:numPr>
        <w:tabs>
          <w:tab w:val="clear" w:pos="720"/>
          <w:tab w:val="left" w:pos="567" w:leader="none"/>
        </w:tabs>
        <w:ind w:firstLine="284" w:start="0" w:end="0"/>
        <w:rPr>
          <w:sz w:val="20"/>
        </w:rPr>
      </w:pPr>
      <w:r>
        <w:rPr>
          <w:sz w:val="20"/>
        </w:rPr>
        <w:t>Кражу материальных ценностей, если будет установлено, что она совершена в связи с не включением Собственником охранной сигнализации, не сообщением «ОХРАНЕ» о ее неисправности или не сдачей объекта под охрану;</w:t>
      </w:r>
    </w:p>
    <w:p>
      <w:pPr>
        <w:pStyle w:val="21"/>
        <w:numPr>
          <w:ilvl w:val="0"/>
          <w:numId w:val="7"/>
        </w:numPr>
        <w:tabs>
          <w:tab w:val="clear" w:pos="720"/>
          <w:tab w:val="left" w:pos="567" w:leader="none"/>
        </w:tabs>
        <w:ind w:firstLine="284" w:start="0" w:end="0"/>
        <w:rPr>
          <w:sz w:val="20"/>
        </w:rPr>
      </w:pPr>
      <w:r>
        <w:rPr>
          <w:sz w:val="20"/>
        </w:rPr>
        <w:t>Кражу материальных ценностей при невыполнении Собственником в установленные двусторонним актом сроки требований по технической укрепленности объектов или оснащению его дополнительными техническими средствами охраны, если это послужило условием совершения кражи;</w:t>
      </w:r>
    </w:p>
    <w:p>
      <w:pPr>
        <w:pStyle w:val="21"/>
        <w:numPr>
          <w:ilvl w:val="0"/>
          <w:numId w:val="7"/>
        </w:numPr>
        <w:tabs>
          <w:tab w:val="clear" w:pos="720"/>
          <w:tab w:val="left" w:pos="567" w:leader="none"/>
        </w:tabs>
        <w:ind w:firstLine="284" w:start="0" w:end="0"/>
        <w:rPr>
          <w:sz w:val="20"/>
        </w:rPr>
      </w:pPr>
      <w:r>
        <w:rPr>
          <w:sz w:val="20"/>
        </w:rPr>
        <w:t>Кражу материальных ценностей при невыполнении Собственником п. 4.2. (аб. 2.3.), п. 4.3., п. 4.4. настоящего договора.</w:t>
      </w:r>
    </w:p>
    <w:p>
      <w:pPr>
        <w:pStyle w:val="21"/>
        <w:numPr>
          <w:ilvl w:val="0"/>
          <w:numId w:val="7"/>
        </w:numPr>
        <w:tabs>
          <w:tab w:val="clear" w:pos="720"/>
          <w:tab w:val="left" w:pos="567" w:leader="none"/>
        </w:tabs>
        <w:ind w:firstLine="284" w:start="0" w:end="0"/>
        <w:rPr>
          <w:sz w:val="20"/>
        </w:rPr>
      </w:pPr>
      <w:r>
        <w:rPr>
          <w:sz w:val="20"/>
        </w:rPr>
        <w:t>Оконные стекла и витрины, целостность строительных конструкций.</w:t>
      </w:r>
    </w:p>
    <w:p>
      <w:pPr>
        <w:pStyle w:val="21"/>
        <w:numPr>
          <w:ilvl w:val="0"/>
          <w:numId w:val="7"/>
        </w:numPr>
        <w:tabs>
          <w:tab w:val="clear" w:pos="720"/>
          <w:tab w:val="left" w:pos="567" w:leader="none"/>
        </w:tabs>
        <w:ind w:firstLine="284" w:start="0" w:end="0"/>
        <w:rPr>
          <w:sz w:val="20"/>
        </w:rPr>
      </w:pPr>
      <w:r>
        <w:rPr>
          <w:sz w:val="20"/>
        </w:rPr>
        <w:t>Ущерб если сотрудники «ОХРАНЫ» прибыли на вызов в течение семи минут.</w:t>
      </w:r>
    </w:p>
    <w:p>
      <w:pPr>
        <w:pStyle w:val="21"/>
        <w:tabs>
          <w:tab w:val="clear" w:pos="720"/>
          <w:tab w:val="left" w:pos="567" w:leader="none"/>
        </w:tabs>
        <w:ind w:firstLine="142" w:start="0" w:end="0"/>
        <w:rPr/>
      </w:pPr>
      <w:r>
        <w:rPr>
          <w:sz w:val="20"/>
        </w:rPr>
        <w:t>5.6.  Все спорные вопросы по исполнению, изменению и расторжению договора разрешаются в течение 20 дней с момента получения претензии</w:t>
      </w:r>
    </w:p>
    <w:p>
      <w:pPr>
        <w:pStyle w:val="21"/>
        <w:numPr>
          <w:ilvl w:val="0"/>
          <w:numId w:val="2"/>
        </w:numPr>
        <w:tabs>
          <w:tab w:val="clear" w:pos="720"/>
          <w:tab w:val="left" w:pos="360" w:leader="none"/>
        </w:tabs>
        <w:jc w:val="center"/>
        <w:rPr>
          <w:b/>
          <w:sz w:val="20"/>
        </w:rPr>
      </w:pPr>
      <w:r>
        <w:rPr>
          <w:b/>
          <w:sz w:val="20"/>
        </w:rPr>
        <w:t>УСЛОВИЯ И ПОРЯДОК РАСЧЕТОВ</w:t>
      </w:r>
    </w:p>
    <w:p>
      <w:pPr>
        <w:pStyle w:val="21"/>
        <w:tabs>
          <w:tab w:val="clear" w:pos="720"/>
          <w:tab w:val="left" w:pos="567" w:leader="none"/>
        </w:tabs>
        <w:ind w:firstLine="142" w:start="0" w:end="0"/>
        <w:rPr/>
      </w:pPr>
      <w:r>
        <w:rPr>
          <w:sz w:val="20"/>
        </w:rPr>
        <w:t>6.1. Сумма договора составляет __________________________________________________ в месяц, НДС не облагается.  Сумма оплаты договорных обязательств подлежит пересмотру и обсуждению один раз в год (декабрь) с учётом  роста инфляции согласно сведений ГОСКОМСТАТа.</w:t>
      </w:r>
    </w:p>
    <w:p>
      <w:pPr>
        <w:pStyle w:val="21"/>
        <w:tabs>
          <w:tab w:val="clear" w:pos="720"/>
          <w:tab w:val="left" w:pos="567" w:leader="none"/>
        </w:tabs>
        <w:ind w:firstLine="142" w:start="0" w:end="0"/>
        <w:rPr/>
      </w:pPr>
      <w:r>
        <w:rPr>
          <w:sz w:val="20"/>
        </w:rPr>
        <w:t xml:space="preserve">6.2.   Оплата услуг Охраны производится ежемесячно в безналичном порядке до 5 числа за отработанный месяц. </w:t>
      </w:r>
    </w:p>
    <w:p>
      <w:pPr>
        <w:pStyle w:val="21"/>
        <w:tabs>
          <w:tab w:val="clear" w:pos="720"/>
          <w:tab w:val="left" w:pos="567" w:leader="none"/>
        </w:tabs>
        <w:ind w:start="0" w:end="0"/>
        <w:rPr/>
      </w:pPr>
      <w:r>
        <w:rPr>
          <w:sz w:val="20"/>
        </w:rPr>
        <w:t xml:space="preserve">   </w:t>
      </w:r>
      <w:r>
        <w:rPr>
          <w:sz w:val="20"/>
        </w:rPr>
        <w:t>6.3.  В случае просрочки оплаты услуг Охраны Собственником более чем  на 10 (десять) дней после установленного срока оплаты, Охрана имеет право приостановить исполнение своих обязанностей по договору и снять охрану. С момента приостановления своих обязанностей по договору и снятия охраны, ответственность за имущество Собственника Охрана не несет. Охрана имеет право расторгнуть договор, уведомив об этом Собственника за пятнадцать дней, если Собственник имеет задолженность по оплате более двух месяцев. Повторное подключение на пульт ПЦН производится после оплаты основной суммы долга и пени, кроме того, за повторное подключение взимается плата в размере ______(_________) рублей.</w:t>
      </w:r>
    </w:p>
    <w:p>
      <w:pPr>
        <w:pStyle w:val="21"/>
        <w:numPr>
          <w:ilvl w:val="0"/>
          <w:numId w:val="2"/>
        </w:numPr>
        <w:tabs>
          <w:tab w:val="clear" w:pos="720"/>
          <w:tab w:val="left" w:pos="360" w:leader="none"/>
        </w:tabs>
        <w:jc w:val="center"/>
        <w:rPr>
          <w:b/>
          <w:sz w:val="20"/>
        </w:rPr>
      </w:pPr>
      <w:r>
        <w:rPr>
          <w:b/>
          <w:sz w:val="20"/>
        </w:rPr>
        <w:t>ДОПОЛНИТЕЛЬНЫЕ УСЛОВИЯ</w:t>
      </w:r>
    </w:p>
    <w:p>
      <w:pPr>
        <w:pStyle w:val="21"/>
        <w:numPr>
          <w:ilvl w:val="1"/>
          <w:numId w:val="2"/>
        </w:numPr>
        <w:tabs>
          <w:tab w:val="clear" w:pos="720"/>
          <w:tab w:val="left" w:pos="567" w:leader="none"/>
        </w:tabs>
        <w:ind w:firstLine="142" w:start="0" w:end="0"/>
        <w:rPr>
          <w:sz w:val="20"/>
        </w:rPr>
      </w:pPr>
      <w:r>
        <w:rPr>
          <w:sz w:val="20"/>
        </w:rPr>
        <w:t xml:space="preserve"> </w:t>
      </w:r>
      <w:r>
        <w:rPr>
          <w:sz w:val="20"/>
        </w:rPr>
        <w:t>В случае невыполнения любой из сторон своих обязательств по настоящему договору, каждая из сторон вправе расторгнуть его в одностороннем порядке уведомив об этом за один месяц и потребовать возмещения убытков.</w:t>
      </w:r>
    </w:p>
    <w:p>
      <w:pPr>
        <w:pStyle w:val="21"/>
        <w:numPr>
          <w:ilvl w:val="1"/>
          <w:numId w:val="2"/>
        </w:numPr>
        <w:tabs>
          <w:tab w:val="clear" w:pos="720"/>
          <w:tab w:val="left" w:pos="567" w:leader="none"/>
        </w:tabs>
        <w:ind w:firstLine="142" w:start="0" w:end="0"/>
        <w:rPr>
          <w:sz w:val="20"/>
        </w:rPr>
      </w:pPr>
      <w:r>
        <w:rPr>
          <w:sz w:val="20"/>
        </w:rPr>
        <w:t xml:space="preserve"> </w:t>
      </w:r>
      <w:r>
        <w:rPr>
          <w:sz w:val="20"/>
        </w:rPr>
        <w:t>В случае просрочки платежа Собственник уплачивает Охране пеню в размере 0,1% за каждый день задержки от суммы задолженности.</w:t>
      </w:r>
    </w:p>
    <w:p>
      <w:pPr>
        <w:pStyle w:val="21"/>
        <w:numPr>
          <w:ilvl w:val="1"/>
          <w:numId w:val="2"/>
        </w:numPr>
        <w:tabs>
          <w:tab w:val="clear" w:pos="720"/>
          <w:tab w:val="left" w:pos="567" w:leader="none"/>
        </w:tabs>
        <w:ind w:firstLine="142" w:start="0" w:end="0"/>
        <w:rPr>
          <w:sz w:val="20"/>
        </w:rPr>
      </w:pPr>
      <w:r>
        <w:rPr>
          <w:sz w:val="20"/>
        </w:rPr>
        <w:t xml:space="preserve"> </w:t>
      </w:r>
      <w:r>
        <w:rPr>
          <w:sz w:val="20"/>
        </w:rPr>
        <w:t>За ложный вызов оперативной группы по вине Собственника последний возмещает Охране понесенные ею дополнительные расходы в сумме ________ (___________) рублей в 10-ти дневный срок с момента получения Собственником письменного уведомления.</w:t>
      </w:r>
    </w:p>
    <w:p>
      <w:pPr>
        <w:pStyle w:val="21"/>
        <w:numPr>
          <w:ilvl w:val="1"/>
          <w:numId w:val="2"/>
        </w:numPr>
        <w:tabs>
          <w:tab w:val="clear" w:pos="720"/>
          <w:tab w:val="left" w:pos="567" w:leader="none"/>
        </w:tabs>
        <w:ind w:firstLine="142" w:start="0" w:end="0"/>
        <w:rPr>
          <w:sz w:val="20"/>
        </w:rPr>
      </w:pPr>
      <w:r>
        <w:rPr>
          <w:sz w:val="20"/>
        </w:rPr>
        <w:t xml:space="preserve"> </w:t>
      </w:r>
      <w:r>
        <w:rPr>
          <w:sz w:val="20"/>
        </w:rPr>
        <w:t>Настоящий договор составлен в двух экземплярах, из которых один находится у Охраны, а другой у Собственника.</w:t>
      </w:r>
    </w:p>
    <w:p>
      <w:pPr>
        <w:pStyle w:val="21"/>
        <w:numPr>
          <w:ilvl w:val="1"/>
          <w:numId w:val="2"/>
        </w:numPr>
        <w:tabs>
          <w:tab w:val="clear" w:pos="720"/>
          <w:tab w:val="left" w:pos="567" w:leader="none"/>
        </w:tabs>
        <w:ind w:firstLine="142" w:start="0" w:end="0"/>
        <w:rPr>
          <w:sz w:val="20"/>
        </w:rPr>
      </w:pPr>
      <w:r>
        <w:rPr>
          <w:sz w:val="20"/>
        </w:rPr>
        <w:t xml:space="preserve"> </w:t>
      </w:r>
      <w:r>
        <w:rPr>
          <w:sz w:val="20"/>
        </w:rPr>
        <w:t>Настоящий договор вступает в силу с момента его  подписания, и действует до «__»__________ 201__г.</w:t>
      </w:r>
    </w:p>
    <w:p>
      <w:pPr>
        <w:pStyle w:val="21"/>
        <w:numPr>
          <w:ilvl w:val="1"/>
          <w:numId w:val="2"/>
        </w:numPr>
        <w:tabs>
          <w:tab w:val="clear" w:pos="720"/>
          <w:tab w:val="left" w:pos="567" w:leader="none"/>
        </w:tabs>
        <w:ind w:firstLine="142" w:start="0" w:end="0"/>
        <w:rPr>
          <w:sz w:val="20"/>
        </w:rPr>
      </w:pPr>
      <w:r>
        <w:rPr>
          <w:sz w:val="20"/>
        </w:rPr>
        <w:t xml:space="preserve"> </w:t>
      </w:r>
      <w:r>
        <w:rPr>
          <w:sz w:val="20"/>
        </w:rPr>
        <w:t>Договор остается в силе на тех же условиях и на 12 месяцев, если за один месяц до истечения срока его действия ни одна из сторон не потребует в письменной форме его прекращения или переоформления.</w:t>
      </w:r>
    </w:p>
    <w:p>
      <w:pPr>
        <w:pStyle w:val="BodyText"/>
        <w:tabs>
          <w:tab w:val="clear" w:pos="720"/>
          <w:tab w:val="left" w:pos="567" w:leader="none"/>
        </w:tabs>
        <w:ind w:firstLine="142" w:end="0"/>
        <w:rPr>
          <w:sz w:val="20"/>
        </w:rPr>
      </w:pPr>
      <w:r>
        <w:rPr>
          <w:sz w:val="20"/>
        </w:rPr>
        <w:t>7.7  Действие настоящего договора может быть расторгнуто до истечения срока его действия в случае, если одна из сторон письменно уведомила другую об этом за тридцать дней до его расторжения</w:t>
      </w:r>
    </w:p>
    <w:p>
      <w:pPr>
        <w:pStyle w:val="21"/>
        <w:tabs>
          <w:tab w:val="clear" w:pos="720"/>
          <w:tab w:val="left" w:pos="567" w:leader="none"/>
        </w:tabs>
        <w:ind w:firstLine="142" w:start="0" w:end="0"/>
        <w:rPr>
          <w:sz w:val="20"/>
        </w:rPr>
      </w:pPr>
      <w:r>
        <w:rPr>
          <w:sz w:val="20"/>
        </w:rPr>
        <w:t>7.8  Все изменения настоящего договора считаются действительными, если они совершены в письменной форме и подписаны каждой из сторон.</w:t>
      </w:r>
    </w:p>
    <w:p>
      <w:pPr>
        <w:pStyle w:val="21"/>
        <w:tabs>
          <w:tab w:val="clear" w:pos="720"/>
          <w:tab w:val="left" w:pos="567" w:leader="none"/>
          <w:tab w:val="left" w:pos="1020" w:leader="none"/>
        </w:tabs>
        <w:ind w:firstLine="142" w:start="0" w:end="0"/>
        <w:rPr/>
      </w:pPr>
      <w:r>
        <w:rPr>
          <w:sz w:val="20"/>
        </w:rPr>
        <w:t>7.9  По вопросам, не включенным в настоящий договор, стороны по настоящему договору руководствуются действующим законодательством РФ. Все спорные вопросы по исполнению, изменению и расторжению договора разрешаются в претензионном порядке урегулирования споров в течение 20 дней с момента получения претензии. В случае не достижения согласия споры передаются на рассмотрение Арбитражного суда.</w:t>
      </w:r>
    </w:p>
    <w:p>
      <w:pPr>
        <w:pStyle w:val="21"/>
        <w:tabs>
          <w:tab w:val="clear" w:pos="720"/>
          <w:tab w:val="left" w:pos="1020" w:leader="none"/>
        </w:tabs>
        <w:ind w:start="0" w:end="0"/>
        <w:rPr>
          <w:sz w:val="20"/>
        </w:rPr>
      </w:pPr>
      <w:r>
        <w:rPr>
          <w:sz w:val="20"/>
        </w:rPr>
      </w:r>
    </w:p>
    <w:p>
      <w:pPr>
        <w:pStyle w:val="21"/>
        <w:jc w:val="center"/>
        <w:rPr/>
      </w:pPr>
      <w:r>
        <w:rPr/>
        <w:t>8. Юридические адреса, реквизиты и подписи сторон</w:t>
      </w:r>
    </w:p>
    <w:tbl>
      <w:tblPr>
        <w:tblW w:w="10456" w:type="dxa"/>
        <w:jc w:val="start"/>
        <w:tblInd w:w="0" w:type="dxa"/>
        <w:tblLayout w:type="fixed"/>
        <w:tblCellMar>
          <w:top w:w="0" w:type="dxa"/>
          <w:start w:w="108" w:type="dxa"/>
          <w:bottom w:w="0" w:type="dxa"/>
          <w:end w:w="108" w:type="dxa"/>
        </w:tblCellMar>
      </w:tblPr>
      <w:tblGrid>
        <w:gridCol w:w="4219"/>
        <w:gridCol w:w="1843"/>
        <w:gridCol w:w="4394"/>
      </w:tblGrid>
      <w:tr>
        <w:trPr/>
        <w:tc>
          <w:tcPr>
            <w:tcW w:w="4219" w:type="dxa"/>
            <w:tcBorders/>
          </w:tcPr>
          <w:p>
            <w:pPr>
              <w:pStyle w:val="Heading2"/>
              <w:snapToGrid w:val="false"/>
              <w:ind w:hanging="0" w:start="0"/>
              <w:jc w:val="center"/>
              <w:rPr>
                <w:sz w:val="20"/>
              </w:rPr>
            </w:pPr>
            <w:r>
              <w:rPr>
                <w:sz w:val="20"/>
              </w:rPr>
              <w:t>“</w:t>
            </w:r>
            <w:r>
              <w:rPr>
                <w:sz w:val="20"/>
              </w:rPr>
              <w:t>ОХРАНА”</w:t>
            </w:r>
          </w:p>
          <w:p>
            <w:pPr>
              <w:pStyle w:val="Normal"/>
              <w:jc w:val="center"/>
              <w:rPr>
                <w:b/>
                <w:sz w:val="20"/>
              </w:rPr>
            </w:pPr>
            <w:r>
              <w:rPr>
                <w:b/>
                <w:sz w:val="20"/>
              </w:rPr>
              <w:t>_______________________________________________________________________________</w:t>
            </w:r>
          </w:p>
        </w:tc>
        <w:tc>
          <w:tcPr>
            <w:tcW w:w="1843" w:type="dxa"/>
            <w:tcBorders/>
          </w:tcPr>
          <w:p>
            <w:pPr>
              <w:pStyle w:val="Normal"/>
              <w:snapToGrid w:val="false"/>
              <w:jc w:val="center"/>
              <w:rPr>
                <w:b/>
                <w:sz w:val="20"/>
              </w:rPr>
            </w:pPr>
            <w:r>
              <w:rPr>
                <w:b/>
                <w:sz w:val="20"/>
              </w:rPr>
            </w:r>
          </w:p>
        </w:tc>
        <w:tc>
          <w:tcPr>
            <w:tcW w:w="4394" w:type="dxa"/>
            <w:tcBorders/>
          </w:tcPr>
          <w:p>
            <w:pPr>
              <w:pStyle w:val="Heading2"/>
              <w:snapToGrid w:val="false"/>
              <w:ind w:hanging="0" w:start="0"/>
              <w:jc w:val="center"/>
              <w:rPr>
                <w:sz w:val="20"/>
              </w:rPr>
            </w:pPr>
            <w:r>
              <w:rPr>
                <w:sz w:val="20"/>
              </w:rPr>
              <w:t>“</w:t>
            </w:r>
            <w:r>
              <w:rPr>
                <w:sz w:val="20"/>
              </w:rPr>
              <w:t>СОБСТВЕННИК”</w:t>
            </w:r>
          </w:p>
          <w:p>
            <w:pPr>
              <w:pStyle w:val="Heading2"/>
              <w:ind w:hanging="0" w:start="0"/>
              <w:jc w:val="center"/>
              <w:rPr>
                <w:sz w:val="20"/>
              </w:rPr>
            </w:pPr>
            <w:r>
              <w:rPr>
                <w:sz w:val="20"/>
              </w:rPr>
              <w:t>__________________________________________________________________________________</w:t>
            </w:r>
          </w:p>
        </w:tc>
      </w:tr>
      <w:tr>
        <w:trPr>
          <w:trHeight w:val="477" w:hRule="atLeast"/>
        </w:trPr>
        <w:tc>
          <w:tcPr>
            <w:tcW w:w="4219" w:type="dxa"/>
            <w:tcBorders/>
          </w:tcPr>
          <w:p>
            <w:pPr>
              <w:pStyle w:val="Normal"/>
              <w:snapToGrid w:val="false"/>
              <w:jc w:val="center"/>
              <w:rPr>
                <w:b/>
                <w:sz w:val="20"/>
              </w:rPr>
            </w:pPr>
            <w:r>
              <w:rPr>
                <w:b/>
                <w:sz w:val="20"/>
              </w:rPr>
            </w:r>
          </w:p>
        </w:tc>
        <w:tc>
          <w:tcPr>
            <w:tcW w:w="1843" w:type="dxa"/>
            <w:tcBorders/>
          </w:tcPr>
          <w:p>
            <w:pPr>
              <w:pStyle w:val="Normal"/>
              <w:snapToGrid w:val="false"/>
              <w:jc w:val="center"/>
              <w:rPr>
                <w:b/>
                <w:sz w:val="20"/>
              </w:rPr>
            </w:pPr>
            <w:r>
              <w:rPr>
                <w:b/>
                <w:sz w:val="20"/>
              </w:rPr>
            </w:r>
          </w:p>
        </w:tc>
        <w:tc>
          <w:tcPr>
            <w:tcW w:w="4394" w:type="dxa"/>
            <w:tcBorders/>
          </w:tcPr>
          <w:p>
            <w:pPr>
              <w:pStyle w:val="Normal"/>
              <w:snapToGrid w:val="false"/>
              <w:jc w:val="center"/>
              <w:rPr>
                <w:b/>
                <w:sz w:val="20"/>
              </w:rPr>
            </w:pPr>
            <w:r>
              <w:rPr>
                <w:b/>
                <w:sz w:val="20"/>
              </w:rPr>
            </w:r>
          </w:p>
        </w:tc>
      </w:tr>
      <w:tr>
        <w:trPr/>
        <w:tc>
          <w:tcPr>
            <w:tcW w:w="4219" w:type="dxa"/>
            <w:tcBorders/>
          </w:tcPr>
          <w:p>
            <w:pPr>
              <w:pStyle w:val="Heading1"/>
              <w:snapToGrid w:val="false"/>
              <w:ind w:hanging="0" w:start="0"/>
              <w:jc w:val="center"/>
              <w:rPr>
                <w:b/>
                <w:sz w:val="20"/>
              </w:rPr>
            </w:pPr>
            <w:r>
              <w:rPr>
                <w:b/>
                <w:sz w:val="20"/>
              </w:rPr>
            </w:r>
          </w:p>
        </w:tc>
        <w:tc>
          <w:tcPr>
            <w:tcW w:w="1843" w:type="dxa"/>
            <w:tcBorders/>
          </w:tcPr>
          <w:p>
            <w:pPr>
              <w:pStyle w:val="Normal"/>
              <w:snapToGrid w:val="false"/>
              <w:jc w:val="center"/>
              <w:rPr>
                <w:sz w:val="20"/>
              </w:rPr>
            </w:pPr>
            <w:r>
              <w:rPr>
                <w:sz w:val="20"/>
              </w:rPr>
            </w:r>
          </w:p>
        </w:tc>
        <w:tc>
          <w:tcPr>
            <w:tcW w:w="4394" w:type="dxa"/>
            <w:tcBorders/>
          </w:tcPr>
          <w:p>
            <w:pPr>
              <w:pStyle w:val="Normal"/>
              <w:snapToGrid w:val="false"/>
              <w:jc w:val="center"/>
              <w:rPr>
                <w:sz w:val="20"/>
              </w:rPr>
            </w:pPr>
            <w:r>
              <w:rPr>
                <w:sz w:val="20"/>
              </w:rPr>
            </w:r>
          </w:p>
        </w:tc>
      </w:tr>
      <w:tr>
        <w:trPr/>
        <w:tc>
          <w:tcPr>
            <w:tcW w:w="4219" w:type="dxa"/>
            <w:tcBorders>
              <w:top w:val="single" w:sz="4" w:space="0" w:color="000000"/>
            </w:tcBorders>
          </w:tcPr>
          <w:p>
            <w:pPr>
              <w:pStyle w:val="Normal"/>
              <w:snapToGrid w:val="false"/>
              <w:jc w:val="center"/>
              <w:rPr>
                <w:sz w:val="20"/>
              </w:rPr>
            </w:pPr>
            <w:r>
              <w:rPr>
                <w:sz w:val="20"/>
              </w:rPr>
            </w:r>
          </w:p>
        </w:tc>
        <w:tc>
          <w:tcPr>
            <w:tcW w:w="1843" w:type="dxa"/>
            <w:tcBorders/>
          </w:tcPr>
          <w:p>
            <w:pPr>
              <w:pStyle w:val="Normal"/>
              <w:snapToGrid w:val="false"/>
              <w:jc w:val="center"/>
              <w:rPr>
                <w:sz w:val="20"/>
              </w:rPr>
            </w:pPr>
            <w:r>
              <w:rPr>
                <w:sz w:val="20"/>
              </w:rPr>
            </w:r>
          </w:p>
        </w:tc>
        <w:tc>
          <w:tcPr>
            <w:tcW w:w="4394" w:type="dxa"/>
            <w:tcBorders>
              <w:top w:val="single" w:sz="4" w:space="0" w:color="000000"/>
            </w:tcBorders>
          </w:tcPr>
          <w:p>
            <w:pPr>
              <w:pStyle w:val="Normal"/>
              <w:snapToGrid w:val="false"/>
              <w:jc w:val="center"/>
              <w:rPr>
                <w:sz w:val="20"/>
              </w:rPr>
            </w:pPr>
            <w:r>
              <w:rPr>
                <w:sz w:val="20"/>
              </w:rPr>
            </w:r>
          </w:p>
        </w:tc>
      </w:tr>
      <w:tr>
        <w:trPr/>
        <w:tc>
          <w:tcPr>
            <w:tcW w:w="4219" w:type="dxa"/>
            <w:tcBorders>
              <w:top w:val="single" w:sz="4" w:space="0" w:color="000000"/>
            </w:tcBorders>
          </w:tcPr>
          <w:p>
            <w:pPr>
              <w:pStyle w:val="Normal"/>
              <w:snapToGrid w:val="false"/>
              <w:jc w:val="center"/>
              <w:rPr>
                <w:sz w:val="20"/>
              </w:rPr>
            </w:pPr>
            <w:r>
              <w:rPr>
                <w:sz w:val="20"/>
              </w:rPr>
            </w:r>
          </w:p>
        </w:tc>
        <w:tc>
          <w:tcPr>
            <w:tcW w:w="1843" w:type="dxa"/>
            <w:tcBorders/>
          </w:tcPr>
          <w:p>
            <w:pPr>
              <w:pStyle w:val="Normal"/>
              <w:snapToGrid w:val="false"/>
              <w:jc w:val="center"/>
              <w:rPr>
                <w:sz w:val="20"/>
              </w:rPr>
            </w:pPr>
            <w:r>
              <w:rPr>
                <w:sz w:val="20"/>
              </w:rPr>
            </w:r>
          </w:p>
        </w:tc>
        <w:tc>
          <w:tcPr>
            <w:tcW w:w="4394" w:type="dxa"/>
            <w:tcBorders>
              <w:top w:val="single" w:sz="4" w:space="0" w:color="000000"/>
            </w:tcBorders>
          </w:tcPr>
          <w:p>
            <w:pPr>
              <w:pStyle w:val="Normal"/>
              <w:snapToGrid w:val="false"/>
              <w:jc w:val="center"/>
              <w:rPr>
                <w:sz w:val="20"/>
              </w:rPr>
            </w:pPr>
            <w:r>
              <w:rPr>
                <w:sz w:val="20"/>
              </w:rPr>
            </w:r>
          </w:p>
        </w:tc>
      </w:tr>
      <w:tr>
        <w:trPr/>
        <w:tc>
          <w:tcPr>
            <w:tcW w:w="4219" w:type="dxa"/>
            <w:tcBorders>
              <w:top w:val="single" w:sz="4" w:space="0" w:color="000000"/>
            </w:tcBorders>
          </w:tcPr>
          <w:p>
            <w:pPr>
              <w:pStyle w:val="Normal"/>
              <w:snapToGrid w:val="false"/>
              <w:jc w:val="center"/>
              <w:rPr>
                <w:sz w:val="20"/>
              </w:rPr>
            </w:pPr>
            <w:r>
              <w:rPr>
                <w:sz w:val="20"/>
              </w:rPr>
            </w:r>
          </w:p>
        </w:tc>
        <w:tc>
          <w:tcPr>
            <w:tcW w:w="1843" w:type="dxa"/>
            <w:tcBorders/>
          </w:tcPr>
          <w:p>
            <w:pPr>
              <w:pStyle w:val="Normal"/>
              <w:snapToGrid w:val="false"/>
              <w:jc w:val="center"/>
              <w:rPr>
                <w:sz w:val="20"/>
              </w:rPr>
            </w:pPr>
            <w:r>
              <w:rPr>
                <w:sz w:val="20"/>
              </w:rPr>
            </w:r>
          </w:p>
        </w:tc>
        <w:tc>
          <w:tcPr>
            <w:tcW w:w="4394" w:type="dxa"/>
            <w:tcBorders>
              <w:top w:val="single" w:sz="4" w:space="0" w:color="000000"/>
            </w:tcBorders>
          </w:tcPr>
          <w:p>
            <w:pPr>
              <w:pStyle w:val="Normal"/>
              <w:snapToGrid w:val="false"/>
              <w:jc w:val="center"/>
              <w:rPr>
                <w:sz w:val="20"/>
              </w:rPr>
            </w:pPr>
            <w:r>
              <w:rPr>
                <w:sz w:val="20"/>
              </w:rPr>
            </w:r>
          </w:p>
        </w:tc>
      </w:tr>
      <w:tr>
        <w:trPr/>
        <w:tc>
          <w:tcPr>
            <w:tcW w:w="4219" w:type="dxa"/>
            <w:tcBorders>
              <w:top w:val="single" w:sz="4" w:space="0" w:color="000000"/>
              <w:bottom w:val="single" w:sz="4" w:space="0" w:color="000000"/>
            </w:tcBorders>
          </w:tcPr>
          <w:p>
            <w:pPr>
              <w:pStyle w:val="Heading1"/>
              <w:snapToGrid w:val="false"/>
              <w:ind w:hanging="0" w:start="0"/>
              <w:jc w:val="center"/>
              <w:rPr>
                <w:sz w:val="20"/>
              </w:rPr>
            </w:pPr>
            <w:r>
              <w:rPr>
                <w:sz w:val="20"/>
              </w:rPr>
            </w:r>
          </w:p>
        </w:tc>
        <w:tc>
          <w:tcPr>
            <w:tcW w:w="1843" w:type="dxa"/>
            <w:tcBorders/>
          </w:tcPr>
          <w:p>
            <w:pPr>
              <w:pStyle w:val="Normal"/>
              <w:snapToGrid w:val="false"/>
              <w:jc w:val="center"/>
              <w:rPr>
                <w:sz w:val="20"/>
              </w:rPr>
            </w:pPr>
            <w:r>
              <w:rPr>
                <w:sz w:val="20"/>
              </w:rPr>
            </w:r>
          </w:p>
        </w:tc>
        <w:tc>
          <w:tcPr>
            <w:tcW w:w="4394" w:type="dxa"/>
            <w:tcBorders>
              <w:top w:val="single" w:sz="4" w:space="0" w:color="000000"/>
              <w:bottom w:val="single" w:sz="4" w:space="0" w:color="000000"/>
            </w:tcBorders>
          </w:tcPr>
          <w:p>
            <w:pPr>
              <w:pStyle w:val="Heading1"/>
              <w:snapToGrid w:val="false"/>
              <w:ind w:hanging="0" w:start="0"/>
              <w:jc w:val="center"/>
              <w:rPr>
                <w:sz w:val="20"/>
              </w:rPr>
            </w:pPr>
            <w:r>
              <w:rPr>
                <w:sz w:val="20"/>
              </w:rPr>
            </w:r>
          </w:p>
        </w:tc>
      </w:tr>
      <w:tr>
        <w:trPr/>
        <w:tc>
          <w:tcPr>
            <w:tcW w:w="4219" w:type="dxa"/>
            <w:tcBorders>
              <w:top w:val="single" w:sz="4" w:space="0" w:color="000000"/>
              <w:bottom w:val="single" w:sz="4" w:space="0" w:color="000000"/>
            </w:tcBorders>
          </w:tcPr>
          <w:p>
            <w:pPr>
              <w:pStyle w:val="Normal"/>
              <w:snapToGrid w:val="false"/>
              <w:jc w:val="center"/>
              <w:rPr>
                <w:sz w:val="20"/>
              </w:rPr>
            </w:pPr>
            <w:r>
              <w:rPr>
                <w:sz w:val="20"/>
              </w:rPr>
            </w:r>
          </w:p>
        </w:tc>
        <w:tc>
          <w:tcPr>
            <w:tcW w:w="1843" w:type="dxa"/>
            <w:tcBorders/>
          </w:tcPr>
          <w:p>
            <w:pPr>
              <w:pStyle w:val="Normal"/>
              <w:snapToGrid w:val="false"/>
              <w:jc w:val="center"/>
              <w:rPr>
                <w:sz w:val="20"/>
              </w:rPr>
            </w:pPr>
            <w:r>
              <w:rPr>
                <w:sz w:val="20"/>
              </w:rPr>
            </w:r>
          </w:p>
        </w:tc>
        <w:tc>
          <w:tcPr>
            <w:tcW w:w="4394" w:type="dxa"/>
            <w:tcBorders>
              <w:top w:val="single" w:sz="4" w:space="0" w:color="000000"/>
              <w:bottom w:val="single" w:sz="4" w:space="0" w:color="000000"/>
            </w:tcBorders>
          </w:tcPr>
          <w:p>
            <w:pPr>
              <w:pStyle w:val="Normal"/>
              <w:snapToGrid w:val="false"/>
              <w:jc w:val="center"/>
              <w:rPr>
                <w:sz w:val="20"/>
              </w:rPr>
            </w:pPr>
            <w:r>
              <w:rPr>
                <w:sz w:val="20"/>
              </w:rPr>
            </w:r>
          </w:p>
        </w:tc>
      </w:tr>
      <w:tr>
        <w:trPr/>
        <w:tc>
          <w:tcPr>
            <w:tcW w:w="4219" w:type="dxa"/>
            <w:tcBorders>
              <w:top w:val="single" w:sz="4" w:space="0" w:color="000000"/>
              <w:bottom w:val="single" w:sz="4" w:space="0" w:color="000000"/>
            </w:tcBorders>
          </w:tcPr>
          <w:p>
            <w:pPr>
              <w:pStyle w:val="Normal"/>
              <w:snapToGrid w:val="false"/>
              <w:jc w:val="center"/>
              <w:rPr>
                <w:sz w:val="20"/>
              </w:rPr>
            </w:pPr>
            <w:r>
              <w:rPr>
                <w:sz w:val="20"/>
              </w:rPr>
            </w:r>
          </w:p>
        </w:tc>
        <w:tc>
          <w:tcPr>
            <w:tcW w:w="1843" w:type="dxa"/>
            <w:tcBorders/>
          </w:tcPr>
          <w:p>
            <w:pPr>
              <w:pStyle w:val="Normal"/>
              <w:snapToGrid w:val="false"/>
              <w:jc w:val="center"/>
              <w:rPr>
                <w:sz w:val="20"/>
              </w:rPr>
            </w:pPr>
            <w:r>
              <w:rPr>
                <w:sz w:val="20"/>
              </w:rPr>
            </w:r>
          </w:p>
        </w:tc>
        <w:tc>
          <w:tcPr>
            <w:tcW w:w="4394" w:type="dxa"/>
            <w:tcBorders>
              <w:top w:val="single" w:sz="4" w:space="0" w:color="000000"/>
              <w:bottom w:val="single" w:sz="4" w:space="0" w:color="000000"/>
            </w:tcBorders>
          </w:tcPr>
          <w:p>
            <w:pPr>
              <w:pStyle w:val="Normal"/>
              <w:snapToGrid w:val="false"/>
              <w:jc w:val="center"/>
              <w:rPr>
                <w:sz w:val="20"/>
              </w:rPr>
            </w:pPr>
            <w:r>
              <w:rPr>
                <w:sz w:val="20"/>
              </w:rPr>
            </w:r>
          </w:p>
        </w:tc>
      </w:tr>
      <w:tr>
        <w:trPr/>
        <w:tc>
          <w:tcPr>
            <w:tcW w:w="4219" w:type="dxa"/>
            <w:tcBorders>
              <w:top w:val="single" w:sz="4" w:space="0" w:color="000000"/>
            </w:tcBorders>
          </w:tcPr>
          <w:p>
            <w:pPr>
              <w:pStyle w:val="Normal"/>
              <w:snapToGrid w:val="false"/>
              <w:jc w:val="center"/>
              <w:rPr>
                <w:sz w:val="20"/>
              </w:rPr>
            </w:pPr>
            <w:r>
              <w:rPr>
                <w:sz w:val="20"/>
              </w:rPr>
            </w:r>
          </w:p>
        </w:tc>
        <w:tc>
          <w:tcPr>
            <w:tcW w:w="1843" w:type="dxa"/>
            <w:tcBorders/>
          </w:tcPr>
          <w:p>
            <w:pPr>
              <w:pStyle w:val="Normal"/>
              <w:snapToGrid w:val="false"/>
              <w:jc w:val="center"/>
              <w:rPr>
                <w:sz w:val="20"/>
              </w:rPr>
            </w:pPr>
            <w:r>
              <w:rPr>
                <w:sz w:val="20"/>
              </w:rPr>
            </w:r>
          </w:p>
        </w:tc>
        <w:tc>
          <w:tcPr>
            <w:tcW w:w="4394" w:type="dxa"/>
            <w:tcBorders>
              <w:top w:val="single" w:sz="4" w:space="0" w:color="000000"/>
            </w:tcBorders>
          </w:tcPr>
          <w:p>
            <w:pPr>
              <w:pStyle w:val="Normal"/>
              <w:snapToGrid w:val="false"/>
              <w:jc w:val="center"/>
              <w:rPr>
                <w:sz w:val="20"/>
              </w:rPr>
            </w:pPr>
            <w:r>
              <w:rPr>
                <w:sz w:val="20"/>
              </w:rPr>
            </w:r>
          </w:p>
        </w:tc>
      </w:tr>
      <w:tr>
        <w:trPr/>
        <w:tc>
          <w:tcPr>
            <w:tcW w:w="4219" w:type="dxa"/>
            <w:tcBorders>
              <w:top w:val="single" w:sz="4" w:space="0" w:color="000000"/>
              <w:bottom w:val="single" w:sz="4" w:space="0" w:color="000000"/>
            </w:tcBorders>
          </w:tcPr>
          <w:p>
            <w:pPr>
              <w:pStyle w:val="Normal"/>
              <w:snapToGrid w:val="false"/>
              <w:jc w:val="center"/>
              <w:rPr>
                <w:sz w:val="20"/>
              </w:rPr>
            </w:pPr>
            <w:r>
              <w:rPr>
                <w:sz w:val="20"/>
              </w:rPr>
            </w:r>
          </w:p>
        </w:tc>
        <w:tc>
          <w:tcPr>
            <w:tcW w:w="1843" w:type="dxa"/>
            <w:tcBorders/>
          </w:tcPr>
          <w:p>
            <w:pPr>
              <w:pStyle w:val="Normal"/>
              <w:snapToGrid w:val="false"/>
              <w:jc w:val="center"/>
              <w:rPr>
                <w:sz w:val="20"/>
              </w:rPr>
            </w:pPr>
            <w:r>
              <w:rPr>
                <w:sz w:val="20"/>
              </w:rPr>
            </w:r>
          </w:p>
        </w:tc>
        <w:tc>
          <w:tcPr>
            <w:tcW w:w="4394" w:type="dxa"/>
            <w:tcBorders>
              <w:top w:val="single" w:sz="4" w:space="0" w:color="000000"/>
              <w:bottom w:val="single" w:sz="4" w:space="0" w:color="000000"/>
            </w:tcBorders>
          </w:tcPr>
          <w:p>
            <w:pPr>
              <w:pStyle w:val="Normal"/>
              <w:snapToGrid w:val="false"/>
              <w:jc w:val="center"/>
              <w:rPr>
                <w:sz w:val="20"/>
              </w:rPr>
            </w:pPr>
            <w:r>
              <w:rPr>
                <w:sz w:val="20"/>
              </w:rPr>
            </w:r>
          </w:p>
        </w:tc>
      </w:tr>
      <w:tr>
        <w:trPr/>
        <w:tc>
          <w:tcPr>
            <w:tcW w:w="4219" w:type="dxa"/>
            <w:tcBorders>
              <w:bottom w:val="single" w:sz="4" w:space="0" w:color="000000"/>
            </w:tcBorders>
          </w:tcPr>
          <w:p>
            <w:pPr>
              <w:pStyle w:val="Normal"/>
              <w:snapToGrid w:val="false"/>
              <w:jc w:val="center"/>
              <w:rPr>
                <w:sz w:val="20"/>
              </w:rPr>
            </w:pPr>
            <w:r>
              <w:rPr>
                <w:sz w:val="20"/>
              </w:rPr>
            </w:r>
          </w:p>
        </w:tc>
        <w:tc>
          <w:tcPr>
            <w:tcW w:w="1843" w:type="dxa"/>
            <w:tcBorders/>
          </w:tcPr>
          <w:p>
            <w:pPr>
              <w:pStyle w:val="Normal"/>
              <w:snapToGrid w:val="false"/>
              <w:jc w:val="center"/>
              <w:rPr>
                <w:sz w:val="20"/>
              </w:rPr>
            </w:pPr>
            <w:r>
              <w:rPr>
                <w:sz w:val="20"/>
              </w:rPr>
            </w:r>
          </w:p>
        </w:tc>
        <w:tc>
          <w:tcPr>
            <w:tcW w:w="4394" w:type="dxa"/>
            <w:tcBorders>
              <w:bottom w:val="single" w:sz="4" w:space="0" w:color="000000"/>
            </w:tcBorders>
          </w:tcPr>
          <w:p>
            <w:pPr>
              <w:pStyle w:val="Normal"/>
              <w:snapToGrid w:val="false"/>
              <w:jc w:val="center"/>
              <w:rPr>
                <w:sz w:val="20"/>
              </w:rPr>
            </w:pPr>
            <w:r>
              <w:rPr>
                <w:sz w:val="20"/>
              </w:rPr>
            </w:r>
          </w:p>
        </w:tc>
      </w:tr>
      <w:tr>
        <w:trPr/>
        <w:tc>
          <w:tcPr>
            <w:tcW w:w="4219" w:type="dxa"/>
            <w:tcBorders>
              <w:top w:val="single" w:sz="4" w:space="0" w:color="000000"/>
            </w:tcBorders>
          </w:tcPr>
          <w:p>
            <w:pPr>
              <w:pStyle w:val="Normal"/>
              <w:snapToGrid w:val="false"/>
              <w:rPr>
                <w:sz w:val="20"/>
              </w:rPr>
            </w:pPr>
            <w:r>
              <w:rPr>
                <w:sz w:val="20"/>
              </w:rPr>
            </w:r>
          </w:p>
        </w:tc>
        <w:tc>
          <w:tcPr>
            <w:tcW w:w="1843" w:type="dxa"/>
            <w:tcBorders/>
          </w:tcPr>
          <w:p>
            <w:pPr>
              <w:pStyle w:val="Normal"/>
              <w:snapToGrid w:val="false"/>
              <w:jc w:val="center"/>
              <w:rPr>
                <w:sz w:val="20"/>
              </w:rPr>
            </w:pPr>
            <w:r>
              <w:rPr>
                <w:sz w:val="20"/>
              </w:rPr>
            </w:r>
          </w:p>
        </w:tc>
        <w:tc>
          <w:tcPr>
            <w:tcW w:w="4394" w:type="dxa"/>
            <w:tcBorders>
              <w:top w:val="single" w:sz="4" w:space="0" w:color="000000"/>
            </w:tcBorders>
          </w:tcPr>
          <w:p>
            <w:pPr>
              <w:pStyle w:val="Normal"/>
              <w:snapToGrid w:val="false"/>
              <w:jc w:val="center"/>
              <w:rPr>
                <w:sz w:val="20"/>
              </w:rPr>
            </w:pPr>
            <w:r>
              <w:rPr>
                <w:sz w:val="20"/>
              </w:rPr>
            </w:r>
          </w:p>
        </w:tc>
      </w:tr>
      <w:tr>
        <w:trPr/>
        <w:tc>
          <w:tcPr>
            <w:tcW w:w="4219" w:type="dxa"/>
            <w:tcBorders/>
          </w:tcPr>
          <w:p>
            <w:pPr>
              <w:pStyle w:val="Normal"/>
              <w:snapToGrid w:val="false"/>
              <w:jc w:val="center"/>
              <w:rPr>
                <w:sz w:val="20"/>
              </w:rPr>
            </w:pPr>
            <w:r>
              <w:rPr>
                <w:sz w:val="20"/>
              </w:rPr>
            </w:r>
          </w:p>
        </w:tc>
        <w:tc>
          <w:tcPr>
            <w:tcW w:w="1843" w:type="dxa"/>
            <w:tcBorders/>
          </w:tcPr>
          <w:p>
            <w:pPr>
              <w:pStyle w:val="Normal"/>
              <w:snapToGrid w:val="false"/>
              <w:jc w:val="center"/>
              <w:rPr>
                <w:sz w:val="20"/>
              </w:rPr>
            </w:pPr>
            <w:r>
              <w:rPr>
                <w:sz w:val="20"/>
              </w:rPr>
            </w:r>
          </w:p>
        </w:tc>
        <w:tc>
          <w:tcPr>
            <w:tcW w:w="4394" w:type="dxa"/>
            <w:tcBorders/>
          </w:tcPr>
          <w:p>
            <w:pPr>
              <w:pStyle w:val="Normal"/>
              <w:snapToGrid w:val="false"/>
              <w:jc w:val="center"/>
              <w:rPr>
                <w:sz w:val="20"/>
              </w:rPr>
            </w:pPr>
            <w:r>
              <w:rPr>
                <w:sz w:val="20"/>
              </w:rPr>
            </w:r>
          </w:p>
        </w:tc>
      </w:tr>
      <w:tr>
        <w:trPr/>
        <w:tc>
          <w:tcPr>
            <w:tcW w:w="4219" w:type="dxa"/>
            <w:tcBorders/>
          </w:tcPr>
          <w:p>
            <w:pPr>
              <w:pStyle w:val="Normal"/>
              <w:snapToGrid w:val="false"/>
              <w:jc w:val="center"/>
              <w:rPr>
                <w:b/>
                <w:sz w:val="20"/>
              </w:rPr>
            </w:pPr>
            <w:r>
              <w:rPr>
                <w:b/>
                <w:sz w:val="20"/>
              </w:rPr>
              <w:t>М.П.</w:t>
            </w:r>
          </w:p>
        </w:tc>
        <w:tc>
          <w:tcPr>
            <w:tcW w:w="1843" w:type="dxa"/>
            <w:tcBorders/>
          </w:tcPr>
          <w:p>
            <w:pPr>
              <w:pStyle w:val="Normal"/>
              <w:snapToGrid w:val="false"/>
              <w:jc w:val="center"/>
              <w:rPr>
                <w:b/>
                <w:sz w:val="20"/>
              </w:rPr>
            </w:pPr>
            <w:r>
              <w:rPr>
                <w:b/>
                <w:sz w:val="20"/>
              </w:rPr>
            </w:r>
          </w:p>
        </w:tc>
        <w:tc>
          <w:tcPr>
            <w:tcW w:w="4394" w:type="dxa"/>
            <w:tcBorders/>
          </w:tcPr>
          <w:p>
            <w:pPr>
              <w:pStyle w:val="Normal"/>
              <w:snapToGrid w:val="false"/>
              <w:jc w:val="center"/>
              <w:rPr>
                <w:b/>
                <w:sz w:val="20"/>
              </w:rPr>
            </w:pPr>
            <w:r>
              <w:rPr>
                <w:b/>
                <w:sz w:val="20"/>
              </w:rPr>
              <w:t>М.П.</w:t>
            </w:r>
          </w:p>
        </w:tc>
      </w:tr>
      <w:tr>
        <w:trPr/>
        <w:tc>
          <w:tcPr>
            <w:tcW w:w="4219" w:type="dxa"/>
            <w:tcBorders/>
          </w:tcPr>
          <w:p>
            <w:pPr>
              <w:pStyle w:val="Normal"/>
              <w:snapToGrid w:val="false"/>
              <w:jc w:val="center"/>
              <w:rPr>
                <w:b/>
                <w:sz w:val="20"/>
              </w:rPr>
            </w:pPr>
            <w:r>
              <w:rPr>
                <w:b/>
                <w:sz w:val="20"/>
              </w:rPr>
            </w:r>
          </w:p>
        </w:tc>
        <w:tc>
          <w:tcPr>
            <w:tcW w:w="1843" w:type="dxa"/>
            <w:tcBorders/>
          </w:tcPr>
          <w:p>
            <w:pPr>
              <w:pStyle w:val="Normal"/>
              <w:snapToGrid w:val="false"/>
              <w:jc w:val="center"/>
              <w:rPr>
                <w:sz w:val="20"/>
              </w:rPr>
            </w:pPr>
            <w:r>
              <w:rPr>
                <w:sz w:val="20"/>
              </w:rPr>
            </w:r>
          </w:p>
        </w:tc>
        <w:tc>
          <w:tcPr>
            <w:tcW w:w="4394" w:type="dxa"/>
            <w:tcBorders/>
          </w:tcPr>
          <w:p>
            <w:pPr>
              <w:pStyle w:val="Normal"/>
              <w:snapToGrid w:val="false"/>
              <w:jc w:val="center"/>
              <w:rPr>
                <w:sz w:val="20"/>
              </w:rPr>
            </w:pPr>
            <w:r>
              <w:rPr>
                <w:sz w:val="20"/>
              </w:rPr>
            </w:r>
          </w:p>
        </w:tc>
      </w:tr>
    </w:tbl>
    <w:p>
      <w:pPr>
        <w:pStyle w:val="Normal"/>
        <w:jc w:val="center"/>
        <w:rPr/>
      </w:pPr>
      <w:r>
        <w:rPr/>
      </w:r>
    </w:p>
    <w:p>
      <w:pPr>
        <w:pStyle w:val="Normal"/>
        <w:jc w:val="center"/>
        <w:rPr/>
      </w:pPr>
      <w:r>
        <w:rPr/>
      </w:r>
    </w:p>
    <w:p>
      <w:pPr>
        <w:pStyle w:val="Normal"/>
        <w:jc w:val="center"/>
        <w:rPr/>
      </w:pPr>
      <w:r>
        <w:rPr/>
      </w:r>
    </w:p>
    <w:p>
      <w:pPr>
        <w:pStyle w:val="Heading3"/>
        <w:ind w:hanging="0" w:start="0"/>
        <w:rPr>
          <w:sz w:val="20"/>
        </w:rPr>
      </w:pPr>
      <w:r>
        <w:rPr>
          <w:sz w:val="20"/>
          <w:lang w:val="ru-RU"/>
        </w:rPr>
        <w:t xml:space="preserve">Директор ________________ /____________________/     </w:t>
        <w:tab/>
        <w:tab/>
        <w:t xml:space="preserve">   Директор ________________ /____________________/ </w:t>
      </w:r>
    </w:p>
    <w:p>
      <w:pPr>
        <w:pStyle w:val="Normal"/>
        <w:rPr>
          <w:sz w:val="20"/>
        </w:rPr>
      </w:pPr>
      <w:r>
        <w:rPr>
          <w:sz w:val="20"/>
        </w:rPr>
      </w:r>
    </w:p>
    <w:sectPr>
      <w:type w:val="nextPage"/>
      <w:pgSz w:w="11906" w:h="16838"/>
      <w:pgMar w:left="709" w:right="566" w:gutter="0" w:header="0" w:top="426"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Wingdings">
    <w:charset w:val="02"/>
    <w:family w:val="auto"/>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lvl>
    <w:lvl w:ilvl="1">
      <w:start w:val="1"/>
      <w:numFmt w:val="decimal"/>
      <w:lvlText w:val="%1.%2"/>
      <w:lvlJc w:val="start"/>
      <w:pPr>
        <w:tabs>
          <w:tab w:val="num" w:pos="644"/>
        </w:tabs>
        <w:ind w:start="644" w:hanging="360"/>
      </w:pPr>
    </w:lvl>
    <w:lvl w:ilvl="2">
      <w:start w:val="1"/>
      <w:numFmt w:val="decimal"/>
      <w:lvlText w:val="%1.%2.%3"/>
      <w:lvlJc w:val="start"/>
      <w:pPr>
        <w:tabs>
          <w:tab w:val="num" w:pos="1440"/>
        </w:tabs>
        <w:ind w:start="1440" w:hanging="720"/>
      </w:pPr>
    </w:lvl>
    <w:lvl w:ilvl="3">
      <w:start w:val="1"/>
      <w:numFmt w:val="decimal"/>
      <w:lvlText w:val="%1.%2.%3.%4"/>
      <w:lvlJc w:val="start"/>
      <w:pPr>
        <w:tabs>
          <w:tab w:val="num" w:pos="1800"/>
        </w:tabs>
        <w:ind w:start="1800" w:hanging="720"/>
      </w:pPr>
    </w:lvl>
    <w:lvl w:ilvl="4">
      <w:start w:val="1"/>
      <w:numFmt w:val="decimal"/>
      <w:lvlText w:val="%1.%2.%3.%4.%5"/>
      <w:lvlJc w:val="start"/>
      <w:pPr>
        <w:tabs>
          <w:tab w:val="num" w:pos="2520"/>
        </w:tabs>
        <w:ind w:start="2520" w:hanging="1080"/>
      </w:pPr>
    </w:lvl>
    <w:lvl w:ilvl="5">
      <w:start w:val="1"/>
      <w:numFmt w:val="decimal"/>
      <w:lvlText w:val="%1.%2.%3.%4.%5.%6"/>
      <w:lvlJc w:val="start"/>
      <w:pPr>
        <w:tabs>
          <w:tab w:val="num" w:pos="2880"/>
        </w:tabs>
        <w:ind w:start="2880" w:hanging="1080"/>
      </w:pPr>
    </w:lvl>
    <w:lvl w:ilvl="6">
      <w:start w:val="1"/>
      <w:numFmt w:val="decimal"/>
      <w:lvlText w:val="%1.%2.%3.%4.%5.%6.%7"/>
      <w:lvlJc w:val="start"/>
      <w:pPr>
        <w:tabs>
          <w:tab w:val="num" w:pos="3600"/>
        </w:tabs>
        <w:ind w:start="3600" w:hanging="1440"/>
      </w:pPr>
    </w:lvl>
    <w:lvl w:ilvl="7">
      <w:start w:val="1"/>
      <w:numFmt w:val="decimal"/>
      <w:lvlText w:val="%1.%2.%3.%4.%5.%6.%7.%8"/>
      <w:lvlJc w:val="start"/>
      <w:pPr>
        <w:tabs>
          <w:tab w:val="num" w:pos="3960"/>
        </w:tabs>
        <w:ind w:start="3960" w:hanging="1440"/>
      </w:pPr>
    </w:lvl>
    <w:lvl w:ilvl="8">
      <w:start w:val="1"/>
      <w:numFmt w:val="decimal"/>
      <w:lvlText w:val="%1.%2.%3.%4.%5.%6.%7.%8.%9"/>
      <w:lvlJc w:val="start"/>
      <w:pPr>
        <w:tabs>
          <w:tab w:val="num" w:pos="4680"/>
        </w:tabs>
        <w:ind w:start="4680" w:hanging="1800"/>
      </w:pPr>
    </w:lvl>
  </w:abstractNum>
  <w:abstractNum w:abstractNumId="3">
    <w:lvl w:ilvl="0">
      <w:start w:val="1"/>
      <w:numFmt w:val="bullet"/>
      <w:lvlText w:val=""/>
      <w:lvlJc w:val="start"/>
      <w:pPr>
        <w:tabs>
          <w:tab w:val="num" w:pos="360"/>
        </w:tabs>
        <w:ind w:start="360" w:hanging="360"/>
      </w:pPr>
      <w:rPr>
        <w:rFonts w:ascii="Symbol" w:hAnsi="Symbol" w:cs="Symbol" w:hint="default"/>
      </w:rPr>
    </w:lvl>
  </w:abstractNum>
  <w:abstractNum w:abstractNumId="4">
    <w:lvl w:ilvl="0">
      <w:start w:val="4"/>
      <w:numFmt w:val="decimal"/>
      <w:lvlText w:val="%1."/>
      <w:lvlJc w:val="start"/>
      <w:pPr>
        <w:tabs>
          <w:tab w:val="num" w:pos="630"/>
        </w:tabs>
        <w:ind w:start="630" w:hanging="630"/>
      </w:pPr>
    </w:lvl>
    <w:lvl w:ilvl="1">
      <w:start w:val="1"/>
      <w:numFmt w:val="decimal"/>
      <w:lvlText w:val="%1.%2."/>
      <w:lvlJc w:val="start"/>
      <w:pPr>
        <w:tabs>
          <w:tab w:val="num" w:pos="810"/>
        </w:tabs>
        <w:ind w:start="810" w:hanging="630"/>
      </w:pPr>
    </w:lvl>
    <w:lvl w:ilvl="2">
      <w:start w:val="2"/>
      <w:numFmt w:val="decimal"/>
      <w:lvlText w:val="%1.%2.%3."/>
      <w:lvlJc w:val="start"/>
      <w:pPr>
        <w:tabs>
          <w:tab w:val="num" w:pos="1080"/>
        </w:tabs>
        <w:ind w:start="1080" w:hanging="720"/>
      </w:pPr>
    </w:lvl>
    <w:lvl w:ilvl="3">
      <w:start w:val="1"/>
      <w:numFmt w:val="decimal"/>
      <w:lvlText w:val="%1.%2.%3.%4."/>
      <w:lvlJc w:val="start"/>
      <w:pPr>
        <w:tabs>
          <w:tab w:val="num" w:pos="1260"/>
        </w:tabs>
        <w:ind w:start="1260" w:hanging="720"/>
      </w:pPr>
    </w:lvl>
    <w:lvl w:ilvl="4">
      <w:start w:val="1"/>
      <w:numFmt w:val="decimal"/>
      <w:lvlText w:val="%1.%2.%3.%4.%5."/>
      <w:lvlJc w:val="start"/>
      <w:pPr>
        <w:tabs>
          <w:tab w:val="num" w:pos="1800"/>
        </w:tabs>
        <w:ind w:start="1800" w:hanging="1080"/>
      </w:pPr>
    </w:lvl>
    <w:lvl w:ilvl="5">
      <w:start w:val="1"/>
      <w:numFmt w:val="decimal"/>
      <w:lvlText w:val="%1.%2.%3.%4.%5.%6."/>
      <w:lvlJc w:val="start"/>
      <w:pPr>
        <w:tabs>
          <w:tab w:val="num" w:pos="1980"/>
        </w:tabs>
        <w:ind w:start="1980" w:hanging="1080"/>
      </w:pPr>
    </w:lvl>
    <w:lvl w:ilvl="6">
      <w:start w:val="1"/>
      <w:numFmt w:val="decimal"/>
      <w:lvlText w:val="%1.%2.%3.%4.%5.%6.%7."/>
      <w:lvlJc w:val="start"/>
      <w:pPr>
        <w:tabs>
          <w:tab w:val="num" w:pos="2160"/>
        </w:tabs>
        <w:ind w:start="2160" w:hanging="1080"/>
      </w:pPr>
    </w:lvl>
    <w:lvl w:ilvl="7">
      <w:start w:val="1"/>
      <w:numFmt w:val="decimal"/>
      <w:lvlText w:val="%1.%2.%3.%4.%5.%6.%7.%8."/>
      <w:lvlJc w:val="start"/>
      <w:pPr>
        <w:tabs>
          <w:tab w:val="num" w:pos="2700"/>
        </w:tabs>
        <w:ind w:start="2700" w:hanging="1440"/>
      </w:pPr>
    </w:lvl>
    <w:lvl w:ilvl="8">
      <w:start w:val="1"/>
      <w:numFmt w:val="decimal"/>
      <w:lvlText w:val="%1.%2.%3.%4.%5.%6.%7.%8.%9."/>
      <w:lvlJc w:val="start"/>
      <w:pPr>
        <w:tabs>
          <w:tab w:val="num" w:pos="2880"/>
        </w:tabs>
        <w:ind w:start="2880" w:hanging="1440"/>
      </w:pPr>
    </w:lvl>
  </w:abstractNum>
  <w:abstractNum w:abstractNumId="5">
    <w:lvl w:ilvl="0">
      <w:start w:val="3"/>
      <w:numFmt w:val="decimal"/>
      <w:lvlText w:val="%1."/>
      <w:lvlJc w:val="start"/>
      <w:pPr>
        <w:tabs>
          <w:tab w:val="num" w:pos="460"/>
        </w:tabs>
        <w:ind w:start="460" w:hanging="460"/>
      </w:pPr>
    </w:lvl>
    <w:lvl w:ilvl="1">
      <w:start w:val="1"/>
      <w:numFmt w:val="decimal"/>
      <w:lvlText w:val="%1.%2."/>
      <w:lvlJc w:val="start"/>
      <w:pPr>
        <w:tabs>
          <w:tab w:val="num" w:pos="634"/>
        </w:tabs>
        <w:ind w:start="634" w:hanging="460"/>
      </w:pPr>
    </w:lvl>
    <w:lvl w:ilvl="2">
      <w:start w:val="2"/>
      <w:numFmt w:val="decimal"/>
      <w:lvlText w:val="%1.%2.%3."/>
      <w:lvlJc w:val="start"/>
      <w:pPr>
        <w:tabs>
          <w:tab w:val="num" w:pos="1068"/>
        </w:tabs>
        <w:ind w:start="1068" w:hanging="720"/>
      </w:pPr>
    </w:lvl>
    <w:lvl w:ilvl="3">
      <w:start w:val="1"/>
      <w:numFmt w:val="decimal"/>
      <w:lvlText w:val="%1.%2.%3.%4."/>
      <w:lvlJc w:val="start"/>
      <w:pPr>
        <w:tabs>
          <w:tab w:val="num" w:pos="1242"/>
        </w:tabs>
        <w:ind w:start="1242" w:hanging="720"/>
      </w:pPr>
    </w:lvl>
    <w:lvl w:ilvl="4">
      <w:start w:val="1"/>
      <w:numFmt w:val="decimal"/>
      <w:lvlText w:val="%1.%2.%3.%4.%5."/>
      <w:lvlJc w:val="start"/>
      <w:pPr>
        <w:tabs>
          <w:tab w:val="num" w:pos="1776"/>
        </w:tabs>
        <w:ind w:start="1776" w:hanging="1080"/>
      </w:pPr>
    </w:lvl>
    <w:lvl w:ilvl="5">
      <w:start w:val="1"/>
      <w:numFmt w:val="decimal"/>
      <w:lvlText w:val="%1.%2.%3.%4.%5.%6."/>
      <w:lvlJc w:val="start"/>
      <w:pPr>
        <w:tabs>
          <w:tab w:val="num" w:pos="1950"/>
        </w:tabs>
        <w:ind w:start="1950" w:hanging="1080"/>
      </w:pPr>
    </w:lvl>
    <w:lvl w:ilvl="6">
      <w:start w:val="1"/>
      <w:numFmt w:val="decimal"/>
      <w:lvlText w:val="%1.%2.%3.%4.%5.%6.%7."/>
      <w:lvlJc w:val="start"/>
      <w:pPr>
        <w:tabs>
          <w:tab w:val="num" w:pos="2124"/>
        </w:tabs>
        <w:ind w:start="2124" w:hanging="1080"/>
      </w:pPr>
    </w:lvl>
    <w:lvl w:ilvl="7">
      <w:start w:val="1"/>
      <w:numFmt w:val="decimal"/>
      <w:lvlText w:val="%1.%2.%3.%4.%5.%6.%7.%8."/>
      <w:lvlJc w:val="start"/>
      <w:pPr>
        <w:tabs>
          <w:tab w:val="num" w:pos="2658"/>
        </w:tabs>
        <w:ind w:start="2658" w:hanging="1440"/>
      </w:pPr>
    </w:lvl>
    <w:lvl w:ilvl="8">
      <w:start w:val="1"/>
      <w:numFmt w:val="decimal"/>
      <w:lvlText w:val="%1.%2.%3.%4.%5.%6.%7.%8.%9."/>
      <w:lvlJc w:val="start"/>
      <w:pPr>
        <w:tabs>
          <w:tab w:val="num" w:pos="2832"/>
        </w:tabs>
        <w:ind w:start="2832" w:hanging="1440"/>
      </w:p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20"/>
  <w:displayBackgroundShape/>
  <w:defaultTabStop w:val="7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8"/>
      <w:szCs w:val="20"/>
      <w:lang w:bidi="ar-SA" w:val="ru-RU" w:eastAsia="zh-CN"/>
    </w:rPr>
  </w:style>
  <w:style w:type="paragraph" w:styleId="Heading1">
    <w:name w:val="heading 1"/>
    <w:basedOn w:val="Normal"/>
    <w:next w:val="Normal"/>
    <w:qFormat/>
    <w:pPr>
      <w:keepNext w:val="true"/>
      <w:numPr>
        <w:ilvl w:val="0"/>
        <w:numId w:val="1"/>
      </w:numPr>
      <w:tabs>
        <w:tab w:val="clear" w:pos="720"/>
        <w:tab w:val="left" w:pos="0" w:leader="none"/>
      </w:tabs>
      <w:outlineLvl w:val="0"/>
    </w:pPr>
    <w:rPr>
      <w:sz w:val="36"/>
    </w:rPr>
  </w:style>
  <w:style w:type="paragraph" w:styleId="Heading2">
    <w:name w:val="heading 2"/>
    <w:basedOn w:val="Normal"/>
    <w:next w:val="Normal"/>
    <w:qFormat/>
    <w:pPr>
      <w:keepNext w:val="true"/>
      <w:numPr>
        <w:ilvl w:val="1"/>
        <w:numId w:val="1"/>
      </w:numPr>
      <w:tabs>
        <w:tab w:val="clear" w:pos="720"/>
        <w:tab w:val="left" w:pos="0" w:leader="none"/>
      </w:tabs>
      <w:outlineLvl w:val="1"/>
    </w:pPr>
    <w:rPr>
      <w:b/>
    </w:rPr>
  </w:style>
  <w:style w:type="paragraph" w:styleId="Heading3">
    <w:name w:val="heading 3"/>
    <w:basedOn w:val="Normal"/>
    <w:next w:val="Normal"/>
    <w:qFormat/>
    <w:pPr>
      <w:keepNext w:val="true"/>
      <w:numPr>
        <w:ilvl w:val="2"/>
        <w:numId w:val="1"/>
      </w:numPr>
      <w:tabs>
        <w:tab w:val="clear" w:pos="720"/>
        <w:tab w:val="left" w:pos="0" w:leader="none"/>
      </w:tabs>
      <w:outlineLvl w:val="2"/>
    </w:pPr>
    <w:rPr>
      <w:sz w:val="24"/>
      <w:lang w:val="en-US"/>
    </w:rPr>
  </w:style>
  <w:style w:type="character" w:styleId="WW8Num3z0">
    <w:name w:val="WW8Num3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Style11">
    <w:name w:val="Основной шрифт абзаца"/>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8Num2z0">
    <w:name w:val="WW8Num2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5z0">
    <w:name w:val="WW8Num15z0"/>
    <w:qFormat/>
    <w:rPr>
      <w:rFonts w:ascii="Wingdings" w:hAnsi="Wingdings" w:cs="Wingdings"/>
    </w:rPr>
  </w:style>
  <w:style w:type="character" w:styleId="WW8Num16z0">
    <w:name w:val="WW8Num16z0"/>
    <w:qFormat/>
    <w:rPr>
      <w:rFonts w:ascii="Symbol" w:hAnsi="Symbol" w:cs="Symbol"/>
    </w:rPr>
  </w:style>
  <w:style w:type="character" w:styleId="WW8Num18z0">
    <w:name w:val="WW8Num18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1">
    <w:name w:val="Основной шрифт абзаца1"/>
    <w:qFormat/>
    <w:rPr/>
  </w:style>
  <w:style w:type="character" w:styleId="Style12">
    <w:name w:val="Символ нумерации"/>
    <w:qFormat/>
    <w:rPr/>
  </w:style>
  <w:style w:type="paragraph" w:styleId="Heading">
    <w:name w:val="Heading"/>
    <w:basedOn w:val="Normal"/>
    <w:next w:val="Subtitle"/>
    <w:qFormat/>
    <w:pPr>
      <w:spacing w:before="120" w:after="0"/>
      <w:jc w:val="center"/>
    </w:pPr>
    <w:rPr>
      <w:rFonts w:ascii="Arial" w:hAnsi="Arial" w:cs="Arial"/>
      <w:b/>
      <w:caps/>
      <w:sz w:val="20"/>
    </w:rPr>
  </w:style>
  <w:style w:type="paragraph" w:styleId="BodyText">
    <w:name w:val="Body Text"/>
    <w:basedOn w:val="Normal"/>
    <w:pPr>
      <w:jc w:val="both"/>
    </w:pPr>
    <w:rPr>
      <w:sz w:val="18"/>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Заголовок"/>
    <w:basedOn w:val="Normal"/>
    <w:next w:val="BodyText"/>
    <w:qFormat/>
    <w:pPr>
      <w:keepNext w:val="true"/>
      <w:spacing w:before="240" w:after="120"/>
    </w:pPr>
    <w:rPr>
      <w:rFonts w:ascii="Arial" w:hAnsi="Arial" w:eastAsia="Lucida Sans Unicode" w:cs="Tahoma"/>
      <w:szCs w:val="28"/>
    </w:rPr>
  </w:style>
  <w:style w:type="paragraph" w:styleId="11">
    <w:name w:val="Название1"/>
    <w:basedOn w:val="Normal"/>
    <w:qFormat/>
    <w:pPr>
      <w:suppressLineNumbers/>
      <w:spacing w:before="120" w:after="120"/>
    </w:pPr>
    <w:rPr>
      <w:rFonts w:cs="Tahoma"/>
      <w:i/>
      <w:iCs/>
      <w:sz w:val="24"/>
      <w:szCs w:val="24"/>
    </w:rPr>
  </w:style>
  <w:style w:type="paragraph" w:styleId="12">
    <w:name w:val="Указатель1"/>
    <w:basedOn w:val="Normal"/>
    <w:qFormat/>
    <w:pPr>
      <w:suppressLineNumbers/>
    </w:pPr>
    <w:rPr>
      <w:rFonts w:cs="Tahoma"/>
    </w:rPr>
  </w:style>
  <w:style w:type="paragraph" w:styleId="BodyTextIndent">
    <w:name w:val="Body Text Indent"/>
    <w:basedOn w:val="Normal"/>
    <w:pPr>
      <w:ind w:firstLine="567" w:start="0" w:end="0"/>
      <w:jc w:val="both"/>
    </w:pPr>
    <w:rPr>
      <w:sz w:val="32"/>
    </w:rPr>
  </w:style>
  <w:style w:type="paragraph" w:styleId="21">
    <w:name w:val="Основной текст с отступом 21"/>
    <w:basedOn w:val="Normal"/>
    <w:qFormat/>
    <w:pPr>
      <w:ind w:hanging="0" w:start="360" w:end="0"/>
      <w:jc w:val="both"/>
    </w:pPr>
    <w:rPr>
      <w:sz w:val="24"/>
    </w:rPr>
  </w:style>
  <w:style w:type="paragraph" w:styleId="Subtitle">
    <w:name w:val="Subtitle"/>
    <w:basedOn w:val="Style13"/>
    <w:next w:val="BodyText"/>
    <w:qFormat/>
    <w:pPr>
      <w:jc w:val="center"/>
    </w:pPr>
    <w:rPr>
      <w:i/>
      <w:iCs/>
    </w:rPr>
  </w:style>
  <w:style w:type="paragraph" w:styleId="Style14">
    <w:name w:val="Содержимое таблицы"/>
    <w:basedOn w:val="Normal"/>
    <w:qFormat/>
    <w:pPr>
      <w:suppressLineNumbers/>
    </w:pPr>
    <w:rPr/>
  </w:style>
  <w:style w:type="paragraph" w:styleId="Style15">
    <w:name w:val="Заголовок таблицы"/>
    <w:basedOn w:val="Style14"/>
    <w:qFormat/>
    <w:pPr>
      <w:jc w:val="center"/>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2012-08-17T10:58:00Z</dcterms:created>
  <dc:creator>http://dogovor-urist.ru</dc:creator>
  <dc:description/>
  <cp:keywords>оказание охранных услуг</cp:keywords>
  <dc:language>ru-RU</dc:language>
  <cp:lastModifiedBy>Station</cp:lastModifiedBy>
  <cp:lastPrinted>2005-02-04T11:58:00Z</cp:lastPrinted>
  <dcterms:modified xsi:type="dcterms:W3CDTF">2012-08-17T10:58:00Z</dcterms:modified>
  <cp:revision>2</cp:revision>
  <dc:subject/>
  <dc:title>Договор об охране объекта с помощью пульта централизованного наблюдения</dc:title>
</cp:coreProperties>
</file>