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4"/>
          <w:szCs w:val="24"/>
        </w:rPr>
      </w:pPr>
      <w:r>
        <w:rPr>
          <w:b/>
          <w:sz w:val="24"/>
          <w:szCs w:val="24"/>
        </w:rPr>
      </w:r>
    </w:p>
    <w:p>
      <w:pPr>
        <w:pStyle w:val="Normal"/>
        <w:jc w:val="center"/>
        <w:rPr>
          <w:b/>
          <w:sz w:val="24"/>
          <w:szCs w:val="24"/>
        </w:rPr>
      </w:pPr>
      <w:r>
        <w:rPr>
          <w:b/>
          <w:sz w:val="24"/>
          <w:szCs w:val="24"/>
        </w:rPr>
      </w:r>
    </w:p>
    <w:p>
      <w:pPr>
        <w:pStyle w:val="Normal"/>
        <w:jc w:val="center"/>
        <w:rPr>
          <w:b/>
          <w:sz w:val="24"/>
          <w:szCs w:val="24"/>
        </w:rPr>
      </w:pPr>
      <w:r>
        <w:rPr>
          <w:b/>
          <w:sz w:val="24"/>
          <w:szCs w:val="24"/>
        </w:rPr>
        <w:t xml:space="preserve">КОНТРАКТ  № </w:t>
      </w:r>
    </w:p>
    <w:p>
      <w:pPr>
        <w:pStyle w:val="Normal"/>
        <w:jc w:val="center"/>
        <w:rPr>
          <w:b/>
          <w:sz w:val="24"/>
          <w:szCs w:val="24"/>
        </w:rPr>
      </w:pPr>
      <w:r>
        <w:rPr>
          <w:b/>
          <w:sz w:val="24"/>
          <w:szCs w:val="24"/>
        </w:rPr>
      </w:r>
    </w:p>
    <w:p>
      <w:pPr>
        <w:pStyle w:val="Normal"/>
        <w:jc w:val="center"/>
        <w:rPr/>
      </w:pPr>
      <w:r>
        <w:rPr>
          <w:sz w:val="24"/>
          <w:szCs w:val="24"/>
        </w:rPr>
        <w:t>г. _______________</w:t>
        <w:tab/>
        <w:t xml:space="preserve">   </w:t>
        <w:tab/>
        <w:tab/>
        <w:tab/>
        <w:t xml:space="preserve">      </w:t>
        <w:tab/>
        <w:t xml:space="preserve">  « __ »  _________ 20__ г.</w:t>
      </w:r>
    </w:p>
    <w:p>
      <w:pPr>
        <w:pStyle w:val="Normal"/>
        <w:jc w:val="both"/>
        <w:rPr>
          <w:sz w:val="24"/>
          <w:szCs w:val="24"/>
        </w:rPr>
      </w:pPr>
      <w:r>
        <w:rPr>
          <w:sz w:val="24"/>
          <w:szCs w:val="24"/>
        </w:rPr>
      </w:r>
    </w:p>
    <w:p>
      <w:pPr>
        <w:pStyle w:val="Normal"/>
        <w:ind w:firstLine="720" w:end="0"/>
        <w:jc w:val="both"/>
        <w:rPr/>
      </w:pPr>
      <w:r>
        <w:rPr>
          <w:sz w:val="24"/>
          <w:szCs w:val="24"/>
        </w:rPr>
        <w:t>Компания</w:t>
      </w:r>
      <w:r>
        <w:rPr>
          <w:sz w:val="24"/>
          <w:szCs w:val="24"/>
          <w:lang w:val="lt-LT"/>
        </w:rPr>
        <w:t xml:space="preserve"> </w:t>
      </w:r>
      <w:r>
        <w:rPr>
          <w:sz w:val="24"/>
          <w:szCs w:val="24"/>
        </w:rPr>
        <w:t xml:space="preserve">________________, именуемая в дальнейшем «Поставщик», </w:t>
      </w:r>
      <w:r>
        <w:rPr>
          <w:sz w:val="24"/>
          <w:szCs w:val="24"/>
          <w:lang w:val="lt-LT"/>
        </w:rPr>
        <w:t>в лице</w:t>
      </w:r>
      <w:r>
        <w:rPr>
          <w:sz w:val="24"/>
          <w:szCs w:val="24"/>
        </w:rPr>
        <w:t xml:space="preserve"> ___________________, действующего на основании ________________, с одной стороны,  и</w:t>
      </w:r>
    </w:p>
    <w:p>
      <w:pPr>
        <w:pStyle w:val="Normal"/>
        <w:ind w:end="57"/>
        <w:jc w:val="both"/>
        <w:rPr/>
      </w:pPr>
      <w:r>
        <w:rPr>
          <w:sz w:val="24"/>
          <w:szCs w:val="24"/>
        </w:rPr>
        <w:tab/>
        <w:t>Компания ________________,  именуемая в дальнейшем «Покупатель», в лице____________________, действующего на основании _______________, с другой стороны, далее вместе именуемые «Стороны», заключили  настоящий Контракт о нижеследующем:</w:t>
      </w:r>
    </w:p>
    <w:p>
      <w:pPr>
        <w:pStyle w:val="Normal"/>
        <w:rPr>
          <w:b/>
          <w:sz w:val="24"/>
          <w:szCs w:val="24"/>
        </w:rPr>
      </w:pPr>
      <w:r>
        <w:rPr>
          <w:b/>
          <w:sz w:val="24"/>
          <w:szCs w:val="24"/>
        </w:rPr>
      </w:r>
    </w:p>
    <w:p>
      <w:pPr>
        <w:pStyle w:val="Normal"/>
        <w:ind w:firstLine="720" w:end="0"/>
        <w:jc w:val="center"/>
        <w:rPr>
          <w:b/>
          <w:sz w:val="24"/>
          <w:szCs w:val="24"/>
        </w:rPr>
      </w:pPr>
      <w:r>
        <w:rPr>
          <w:b/>
          <w:sz w:val="24"/>
          <w:szCs w:val="24"/>
        </w:rPr>
        <w:t>1.   ПРЕДМЕТ КОНТРАКТА</w:t>
      </w:r>
    </w:p>
    <w:p>
      <w:pPr>
        <w:pStyle w:val="Normal"/>
        <w:ind w:firstLine="720" w:end="0"/>
        <w:jc w:val="both"/>
        <w:rPr>
          <w:b/>
          <w:sz w:val="24"/>
          <w:szCs w:val="24"/>
        </w:rPr>
      </w:pPr>
      <w:r>
        <w:rPr>
          <w:b/>
          <w:sz w:val="24"/>
          <w:szCs w:val="24"/>
        </w:rPr>
      </w:r>
    </w:p>
    <w:p>
      <w:pPr>
        <w:pStyle w:val="Normal"/>
        <w:ind w:firstLine="720" w:end="0"/>
        <w:jc w:val="both"/>
        <w:rPr/>
      </w:pPr>
      <w:r>
        <w:rPr>
          <w:sz w:val="24"/>
          <w:szCs w:val="24"/>
        </w:rPr>
        <w:t>1.1. Поставщик обязуется в течение срока действия настоящего Контракта поставлять Покупателю нефтепродукты, далее именуемые «Товар», а Покупатель обязуется принимать или организовывать приемку Товара и оплачивать Товар в соответствии с условиями настоящего Контракта.</w:t>
      </w:r>
    </w:p>
    <w:p>
      <w:pPr>
        <w:pStyle w:val="Normal"/>
        <w:ind w:firstLine="720" w:end="0"/>
        <w:jc w:val="both"/>
        <w:rPr/>
      </w:pPr>
      <w:r>
        <w:rPr>
          <w:sz w:val="24"/>
          <w:szCs w:val="24"/>
        </w:rPr>
        <w:t>1.2. Наименование Товара, ассортимент, количество, качество (ТУ, стандарт), условия поставки, способ транспортировки, период поставки, цена, порядок оплаты Товара, наименование Грузоотправителя,  Грузополучателя, определяются в Дополнительных соглашениях к Контракту, являющихся его неотъемлемыми частями.</w:t>
      </w:r>
    </w:p>
    <w:p>
      <w:pPr>
        <w:pStyle w:val="Normal"/>
        <w:ind w:firstLine="720" w:end="0"/>
        <w:jc w:val="both"/>
        <w:rPr>
          <w:sz w:val="24"/>
          <w:szCs w:val="24"/>
        </w:rPr>
      </w:pPr>
      <w:r>
        <w:rPr>
          <w:sz w:val="24"/>
          <w:szCs w:val="24"/>
        </w:rPr>
      </w:r>
    </w:p>
    <w:p>
      <w:pPr>
        <w:pStyle w:val="Normal"/>
        <w:jc w:val="center"/>
        <w:rPr>
          <w:b/>
          <w:sz w:val="24"/>
          <w:szCs w:val="24"/>
        </w:rPr>
      </w:pPr>
      <w:r>
        <w:rPr>
          <w:b/>
          <w:sz w:val="24"/>
          <w:szCs w:val="24"/>
        </w:rPr>
        <w:t>2. КАЧЕСТВО И КОЛИЧЕСТВО</w:t>
      </w:r>
    </w:p>
    <w:p>
      <w:pPr>
        <w:pStyle w:val="Normal"/>
        <w:jc w:val="both"/>
        <w:rPr>
          <w:b/>
          <w:sz w:val="24"/>
          <w:szCs w:val="24"/>
        </w:rPr>
      </w:pPr>
      <w:r>
        <w:rPr>
          <w:b/>
          <w:sz w:val="24"/>
          <w:szCs w:val="24"/>
        </w:rPr>
      </w:r>
    </w:p>
    <w:p>
      <w:pPr>
        <w:pStyle w:val="Normal"/>
        <w:jc w:val="both"/>
        <w:rPr/>
      </w:pPr>
      <w:r>
        <w:rPr>
          <w:sz w:val="24"/>
          <w:szCs w:val="24"/>
        </w:rPr>
        <w:t>2.1. Качество Товара, продаваемого по настоящему Контракту, должно соответствовать указанному в Приложении №1 и подтверждаться Паспортом качества Товара, выданным производителем.</w:t>
      </w:r>
    </w:p>
    <w:p>
      <w:pPr>
        <w:pStyle w:val="Normal"/>
        <w:jc w:val="both"/>
        <w:rPr/>
      </w:pPr>
      <w:r>
        <w:rPr>
          <w:sz w:val="24"/>
          <w:szCs w:val="24"/>
        </w:rPr>
        <w:t xml:space="preserve">2.2. Прием Товара по качеству и количеству осуществляется Покупателем при поставке ж/д транспортом - на железнодорожной эстакаде ____________________, в дальнейшем именуемая «Пункт слива», при поставке автомобильным транспортом _____________________________.                          </w:t>
      </w:r>
    </w:p>
    <w:p>
      <w:pPr>
        <w:pStyle w:val="Normal"/>
        <w:rPr/>
      </w:pPr>
      <w:r>
        <w:rPr>
          <w:sz w:val="24"/>
          <w:szCs w:val="24"/>
        </w:rPr>
        <w:t xml:space="preserve">2.2. Приемка Товара по количеству и качеству производится представителями Сторон в момент передачи Товара. </w:t>
      </w:r>
    </w:p>
    <w:p>
      <w:pPr>
        <w:pStyle w:val="BodyText2"/>
        <w:spacing w:before="0" w:after="0"/>
        <w:rPr/>
      </w:pPr>
      <w:r>
        <w:rPr>
          <w:szCs w:val="24"/>
        </w:rPr>
        <w:t>2.3. Товар считается сданным Продавцом и принятым Покупателем: по качеству – согласно характеристикам, указанным в сертификате (паспорте) качества, по количеству – согласно весу, указанному в накладной, с учетом предусмотренных законодательством РФ норм естественной убыли</w:t>
      </w:r>
      <w:r>
        <w:rPr>
          <w:color w:val="0000FF"/>
          <w:szCs w:val="24"/>
        </w:rPr>
        <w:t>.</w:t>
      </w:r>
    </w:p>
    <w:p>
      <w:pPr>
        <w:pStyle w:val="Normal"/>
        <w:jc w:val="both"/>
        <w:rPr>
          <w:b/>
          <w:color w:val="0000FF"/>
          <w:sz w:val="24"/>
          <w:szCs w:val="24"/>
        </w:rPr>
      </w:pPr>
      <w:r>
        <w:rPr>
          <w:b/>
          <w:color w:val="0000FF"/>
          <w:sz w:val="24"/>
          <w:szCs w:val="24"/>
        </w:rPr>
      </w:r>
    </w:p>
    <w:p>
      <w:pPr>
        <w:pStyle w:val="Normal"/>
        <w:jc w:val="center"/>
        <w:rPr>
          <w:b/>
          <w:sz w:val="24"/>
          <w:szCs w:val="24"/>
        </w:rPr>
      </w:pPr>
      <w:r>
        <w:rPr>
          <w:b/>
          <w:sz w:val="24"/>
          <w:szCs w:val="24"/>
        </w:rPr>
        <w:t>3. ПОСТАВКА</w:t>
      </w:r>
    </w:p>
    <w:p>
      <w:pPr>
        <w:pStyle w:val="Normal"/>
        <w:jc w:val="both"/>
        <w:rPr>
          <w:b/>
          <w:sz w:val="24"/>
          <w:szCs w:val="24"/>
        </w:rPr>
      </w:pPr>
      <w:r>
        <w:rPr>
          <w:b/>
          <w:sz w:val="24"/>
          <w:szCs w:val="24"/>
        </w:rPr>
      </w:r>
    </w:p>
    <w:p>
      <w:pPr>
        <w:pStyle w:val="Normal"/>
        <w:jc w:val="both"/>
        <w:rPr/>
      </w:pPr>
      <w:r>
        <w:rPr>
          <w:sz w:val="24"/>
          <w:szCs w:val="24"/>
        </w:rPr>
        <w:t xml:space="preserve">3.1. Поставка Товара, продаваемого по настоящему Контракту, производится  Продавцом на условиях DAP-граница РФ, ж.д. станция ___________ ,либо, при поставка автотранспортом  </w:t>
      </w:r>
      <w:r>
        <w:rPr>
          <w:sz w:val="24"/>
          <w:szCs w:val="24"/>
          <w:lang w:val="en-US"/>
        </w:rPr>
        <w:t>DAP</w:t>
      </w:r>
      <w:r>
        <w:rPr>
          <w:sz w:val="24"/>
          <w:szCs w:val="24"/>
        </w:rPr>
        <w:t xml:space="preserve"> – граница РФ, _______________ </w:t>
      </w:r>
    </w:p>
    <w:p>
      <w:pPr>
        <w:pStyle w:val="Normal"/>
        <w:jc w:val="both"/>
        <w:rPr/>
      </w:pPr>
      <w:r>
        <w:rPr>
          <w:sz w:val="24"/>
          <w:szCs w:val="24"/>
        </w:rPr>
        <w:t>3.2. Датой поставки считается дата, подтвержденная датой штемпеля станции ________ в ж.д. накладных, а при поставке автотранспортом – штемпель _______________ в автонакладных.</w:t>
      </w:r>
    </w:p>
    <w:p>
      <w:pPr>
        <w:pStyle w:val="Normal"/>
        <w:jc w:val="both"/>
        <w:rPr/>
      </w:pPr>
      <w:r>
        <w:rPr>
          <w:sz w:val="24"/>
          <w:szCs w:val="24"/>
        </w:rPr>
        <w:t>3.3. Товар и все риски, связанные с ним, переходят в собственность Покупателя на условиях  DAP-граница РФ (ИНКОТЕРМС-2010).</w:t>
      </w:r>
    </w:p>
    <w:p>
      <w:pPr>
        <w:pStyle w:val="Normal"/>
        <w:jc w:val="both"/>
        <w:rPr/>
      </w:pPr>
      <w:r>
        <w:rPr>
          <w:sz w:val="24"/>
          <w:szCs w:val="24"/>
        </w:rPr>
        <w:t xml:space="preserve">3.4. Все расходы, возникшие у Продавца на территории РФ, в том числе уплата экспортных таможенных пошлин, налогов, иных затрат, понесенных Продавцом в связи с поставкой Товара до места доставки, указанного в п. 3.1, оплачиваются Продавцом. </w:t>
      </w:r>
    </w:p>
    <w:p>
      <w:pPr>
        <w:pStyle w:val="Normal"/>
        <w:numPr>
          <w:ilvl w:val="0"/>
          <w:numId w:val="0"/>
        </w:numPr>
        <w:ind w:firstLine="720" w:end="0"/>
        <w:jc w:val="center"/>
        <w:outlineLvl w:val="0"/>
        <w:rPr>
          <w:b/>
          <w:sz w:val="24"/>
          <w:szCs w:val="24"/>
        </w:rPr>
      </w:pPr>
      <w:r>
        <w:rPr>
          <w:b/>
          <w:sz w:val="24"/>
          <w:szCs w:val="24"/>
        </w:rPr>
      </w:r>
    </w:p>
    <w:p>
      <w:pPr>
        <w:pStyle w:val="Normal"/>
        <w:numPr>
          <w:ilvl w:val="0"/>
          <w:numId w:val="0"/>
        </w:numPr>
        <w:ind w:firstLine="720" w:end="0"/>
        <w:jc w:val="center"/>
        <w:outlineLvl w:val="0"/>
        <w:rPr>
          <w:b/>
          <w:sz w:val="24"/>
          <w:szCs w:val="24"/>
        </w:rPr>
      </w:pPr>
      <w:r>
        <w:rPr>
          <w:b/>
          <w:sz w:val="24"/>
          <w:szCs w:val="24"/>
        </w:rPr>
        <w:t>4. ЦЕНА ТОВАРА И ПОРЯДОК ОПЛАТЫ</w:t>
      </w:r>
    </w:p>
    <w:p>
      <w:pPr>
        <w:pStyle w:val="Normal"/>
        <w:jc w:val="both"/>
        <w:rPr>
          <w:b/>
          <w:sz w:val="24"/>
          <w:szCs w:val="24"/>
        </w:rPr>
      </w:pPr>
      <w:r>
        <w:rPr>
          <w:b/>
          <w:sz w:val="24"/>
          <w:szCs w:val="24"/>
        </w:rPr>
      </w:r>
    </w:p>
    <w:p>
      <w:pPr>
        <w:pStyle w:val="Normal"/>
        <w:jc w:val="both"/>
        <w:rPr/>
      </w:pPr>
      <w:r>
        <w:rPr>
          <w:sz w:val="24"/>
          <w:szCs w:val="24"/>
        </w:rPr>
        <w:t>4.1. Общая стоимость данного Контракта составляет ________________________.</w:t>
      </w:r>
    </w:p>
    <w:p>
      <w:pPr>
        <w:pStyle w:val="Normal"/>
        <w:tabs>
          <w:tab w:val="clear" w:pos="720"/>
          <w:tab w:val="left" w:pos="8789" w:leader="none"/>
        </w:tabs>
        <w:jc w:val="both"/>
        <w:rPr>
          <w:sz w:val="24"/>
          <w:szCs w:val="24"/>
        </w:rPr>
      </w:pPr>
      <w:r>
        <w:rPr>
          <w:sz w:val="24"/>
          <w:szCs w:val="24"/>
        </w:rPr>
        <w:t>Цена Товара согласовывается Сторонами в Дополнительных соглашениях к настоящему Контракту и включает</w:t>
      </w:r>
      <w:r>
        <w:rPr>
          <w:color w:val="FF6600"/>
          <w:sz w:val="24"/>
          <w:szCs w:val="24"/>
        </w:rPr>
        <w:t>:</w:t>
      </w:r>
    </w:p>
    <w:p>
      <w:pPr>
        <w:pStyle w:val="Normal"/>
        <w:tabs>
          <w:tab w:val="clear" w:pos="720"/>
          <w:tab w:val="left" w:pos="8789" w:leader="none"/>
        </w:tabs>
        <w:ind w:firstLine="709" w:end="0"/>
        <w:jc w:val="both"/>
        <w:rPr/>
      </w:pPr>
      <w:r>
        <w:rPr>
          <w:sz w:val="24"/>
          <w:szCs w:val="24"/>
        </w:rPr>
        <w:t xml:space="preserve">-  при поставке Товара железнодорожным транспортом – стоимость Товара, стоимость тары, упаковки, налив, погрузку, стоимость услуг по организации транспортировки Товара до станции ____________.  </w:t>
      </w:r>
    </w:p>
    <w:p>
      <w:pPr>
        <w:pStyle w:val="Normal"/>
        <w:tabs>
          <w:tab w:val="clear" w:pos="720"/>
          <w:tab w:val="left" w:pos="8789" w:leader="none"/>
        </w:tabs>
        <w:ind w:firstLine="720" w:end="0"/>
        <w:jc w:val="both"/>
        <w:rPr/>
      </w:pPr>
      <w:r>
        <w:rPr>
          <w:sz w:val="24"/>
          <w:szCs w:val="24"/>
        </w:rPr>
        <w:t>- при поставке Товара автомобильным транспортом –  стоимость Товара, стоимость тары и упаковки, расходы, связанные с погрузкой Товара в месте погрузки и наливом, стоимость услуг по организации транспортировки Товара до ______________.</w:t>
      </w:r>
    </w:p>
    <w:p>
      <w:pPr>
        <w:pStyle w:val="Normal"/>
        <w:tabs>
          <w:tab w:val="clear" w:pos="720"/>
          <w:tab w:val="left" w:pos="8789" w:leader="none"/>
        </w:tabs>
        <w:jc w:val="both"/>
        <w:rPr/>
      </w:pPr>
      <w:r>
        <w:rPr>
          <w:sz w:val="24"/>
          <w:szCs w:val="24"/>
        </w:rPr>
        <w:t xml:space="preserve">4.2. Оплата поставляемого Товара осуществляется Покупателем денежными средствами на условиях 100 % предварительной оплаты не позднее 5 (Пять) календарных дней до отгрузки Товара. Фактом оплаты считается дата зачисления денежных средств на расчетный счет Поставщика. </w:t>
      </w:r>
    </w:p>
    <w:p>
      <w:pPr>
        <w:pStyle w:val="Normal"/>
        <w:tabs>
          <w:tab w:val="clear" w:pos="720"/>
          <w:tab w:val="left" w:pos="8789" w:leader="none"/>
        </w:tabs>
        <w:ind w:firstLine="709" w:end="0"/>
        <w:jc w:val="both"/>
        <w:rPr>
          <w:sz w:val="24"/>
          <w:szCs w:val="24"/>
        </w:rPr>
      </w:pPr>
      <w:r>
        <w:rPr>
          <w:sz w:val="24"/>
          <w:szCs w:val="24"/>
        </w:rPr>
        <w:t>Платежные документы, оформляемые Покупателем на оплату Товара, должны содержать ссылку на номер Контракта и номер соответствующего Дополнительного соглашения.</w:t>
      </w:r>
    </w:p>
    <w:p>
      <w:pPr>
        <w:pStyle w:val="Normal"/>
        <w:tabs>
          <w:tab w:val="clear" w:pos="720"/>
          <w:tab w:val="left" w:pos="8789" w:leader="none"/>
        </w:tabs>
        <w:jc w:val="both"/>
        <w:rPr/>
      </w:pPr>
      <w:r>
        <w:rPr>
          <w:sz w:val="24"/>
          <w:szCs w:val="24"/>
        </w:rPr>
        <w:t>4.3.</w:t>
      </w:r>
      <w:r>
        <w:rPr>
          <w:b/>
          <w:sz w:val="24"/>
          <w:szCs w:val="24"/>
        </w:rPr>
        <w:t xml:space="preserve"> </w:t>
      </w:r>
      <w:r>
        <w:rPr>
          <w:sz w:val="24"/>
          <w:szCs w:val="24"/>
        </w:rPr>
        <w:t>В случае,  если Покупателем не произведено в сроки и на условиях, предусмотренных в п.4.2  настоящего Контракта, перечисление денежных средств, Поставщик имеет право произвести поставку Товара только в пределах оплаченной суммы. При  этом неоплаченное количество согласованного в Дополнительном соглашении Товара не подлежит поставке как в согласованный период, так и в последующие периоды в пределах срока действия настоящего Контракта. В этом случае количество поставляемого Товара, указанного в Дополнительном соглашении, считается согласованным Сторонами  на сумму поступивших от Покупателя денежных средств.</w:t>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center"/>
        <w:rPr>
          <w:b/>
          <w:sz w:val="24"/>
          <w:szCs w:val="24"/>
        </w:rPr>
      </w:pPr>
      <w:r>
        <w:rPr>
          <w:b/>
          <w:sz w:val="24"/>
          <w:szCs w:val="24"/>
        </w:rPr>
        <w:t>6. РЕКЛАМАЦИИ</w:t>
      </w:r>
    </w:p>
    <w:p>
      <w:pPr>
        <w:pStyle w:val="Normal"/>
        <w:jc w:val="both"/>
        <w:rPr>
          <w:b/>
          <w:sz w:val="24"/>
          <w:szCs w:val="24"/>
        </w:rPr>
      </w:pPr>
      <w:r>
        <w:rPr>
          <w:b/>
          <w:sz w:val="24"/>
          <w:szCs w:val="24"/>
        </w:rPr>
      </w:r>
    </w:p>
    <w:p>
      <w:pPr>
        <w:pStyle w:val="BodyText2"/>
        <w:spacing w:before="0" w:after="0"/>
        <w:rPr/>
      </w:pPr>
      <w:r>
        <w:rPr>
          <w:szCs w:val="24"/>
        </w:rPr>
        <w:t>6.1. Покупатель имеет право заявить Продавцу рекламацию на несоответствие качества или количества Товара в течение 15 (пятнадцати) календарных дней с даты поставки согласно п. 3.2 Контракта. В случае возникновения претензий по качеству вызов представителя Продавца обязателен.</w:t>
      </w:r>
    </w:p>
    <w:p>
      <w:pPr>
        <w:pStyle w:val="BodyText2"/>
        <w:spacing w:before="0" w:after="0"/>
        <w:rPr>
          <w:szCs w:val="24"/>
        </w:rPr>
      </w:pPr>
      <w:r>
        <w:rPr>
          <w:szCs w:val="24"/>
        </w:rPr>
        <w:tab/>
        <w:t>К рекламации должен прилагаться акт независимой экспертной организации, подтверждающий несоответствие Товара условиям Контракта.</w:t>
      </w:r>
    </w:p>
    <w:p>
      <w:pPr>
        <w:pStyle w:val="BodyText2"/>
        <w:spacing w:before="0" w:after="0"/>
        <w:ind w:firstLine="708" w:end="0"/>
        <w:rPr/>
      </w:pPr>
      <w:r>
        <w:rPr>
          <w:szCs w:val="24"/>
        </w:rPr>
        <w:t xml:space="preserve">Рекламацию с  пакетом подтверждающих документов Покупатель направляет Продавцу посредством почтовой связи. Если в течение 30 (тридцати) календарных дней с даты получения Продавцом рекламации ответа от последнего не последовало, то Покупатель вправе передать спор для рассмотрения в судебном порядке согласно п. 9.2 Контракта. </w:t>
      </w:r>
    </w:p>
    <w:p>
      <w:pPr>
        <w:pStyle w:val="BodyText2"/>
        <w:spacing w:before="0" w:after="0"/>
        <w:ind w:firstLine="708" w:end="0"/>
        <w:rPr/>
      </w:pPr>
      <w:r>
        <w:rPr>
          <w:szCs w:val="24"/>
        </w:rPr>
        <w:t xml:space="preserve">При нарушении условий данного пункта Поставщик вправе отказаться от удовлетворения требований относительно качества или количества поставленного Товара, в этом случае Товар считается поставленным по качеству – соответствующему данным, указанным в паспорте качества, по количеству – согласно накладной.  </w:t>
      </w:r>
    </w:p>
    <w:p>
      <w:pPr>
        <w:pStyle w:val="BodyText2"/>
        <w:spacing w:before="0" w:after="0"/>
        <w:ind w:firstLine="708" w:end="0"/>
        <w:rPr/>
      </w:pPr>
      <w:r>
        <w:rPr>
          <w:szCs w:val="24"/>
        </w:rPr>
        <w:t>По истечению срока, указанного в абзаце 1 настоящего пункта, Товар считается окончательно  принятым Покупателем,  и последний  не имеет права ссылаться на несоответствие качества Товара настоящему Контракту.</w:t>
      </w:r>
    </w:p>
    <w:p>
      <w:pPr>
        <w:pStyle w:val="Normal"/>
        <w:jc w:val="both"/>
        <w:rPr/>
      </w:pPr>
      <w:r>
        <w:rPr>
          <w:sz w:val="24"/>
          <w:szCs w:val="24"/>
        </w:rPr>
        <w:t>6.2. В случае если Поставщик своевременно получает претензию в отношении качества и/или количества партии Товара в соответствии с условиями настоящего Контракта, Поставщик и Покупатель договариваются о соразмерном уменьшении цены на данную партию Товара или о возврате товара, с подписанием соответствующего дополнительного соглашения к Контракту.</w:t>
      </w:r>
    </w:p>
    <w:p>
      <w:pPr>
        <w:pStyle w:val="Normal"/>
        <w:jc w:val="both"/>
        <w:rPr>
          <w:sz w:val="24"/>
          <w:szCs w:val="24"/>
        </w:rPr>
      </w:pPr>
      <w:r>
        <w:rPr>
          <w:sz w:val="24"/>
          <w:szCs w:val="24"/>
        </w:rPr>
        <w:t>6.4. В случае возникновения любых споров по качеству и количеству Товара, окончательным и обязательным для обеих сторон является анализ, выполненный независимой международной инспекцией с согласия обеих сторон. Затраты за такой анализ покрывает проигравшая спор Сторона.</w:t>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center"/>
        <w:rPr>
          <w:b/>
          <w:sz w:val="24"/>
          <w:szCs w:val="24"/>
        </w:rPr>
      </w:pPr>
      <w:r>
        <w:rPr>
          <w:b/>
          <w:sz w:val="24"/>
          <w:szCs w:val="24"/>
        </w:rPr>
        <w:t>7. ФОРС- МАЖОР</w:t>
      </w:r>
    </w:p>
    <w:p>
      <w:pPr>
        <w:pStyle w:val="Normal"/>
        <w:jc w:val="both"/>
        <w:rPr>
          <w:b/>
          <w:sz w:val="24"/>
          <w:szCs w:val="24"/>
        </w:rPr>
      </w:pPr>
      <w:r>
        <w:rPr>
          <w:b/>
          <w:sz w:val="24"/>
          <w:szCs w:val="24"/>
        </w:rPr>
      </w:r>
    </w:p>
    <w:p>
      <w:pPr>
        <w:pStyle w:val="Normal"/>
        <w:jc w:val="both"/>
        <w:rPr>
          <w:sz w:val="24"/>
          <w:szCs w:val="24"/>
          <w:lang w:val="lt-LT"/>
        </w:rPr>
      </w:pPr>
      <w:r>
        <w:rPr>
          <w:sz w:val="24"/>
          <w:szCs w:val="24"/>
        </w:rPr>
        <w:t>7.1. В результате наступления обстоятельств после заключения контракта, при которых создается невозможность полного или частичного исполнения и/или надлежащего исполнения обязательств (кроме неуплаты любой суммы по условиям Контракта) именно: пожара, ледовых условий или любых других стихийных бедствий, войн, военных операций любого характера, блокад, запрета на экспорт или импорт, забастовок, гражданских волнений, задержек в следствии аварии или неблагоприятных погодных условий, морских рисков, эмбарго или других обстоятельств, находящихся вне компетенции сторон, предусмотренный срок для выполнения условий контракта может быть продлен на время длительности данных обстоятельств, но не более 30 (тридцати дней).</w:t>
      </w:r>
    </w:p>
    <w:p>
      <w:pPr>
        <w:pStyle w:val="Normal"/>
        <w:jc w:val="both"/>
        <w:rPr>
          <w:sz w:val="24"/>
          <w:szCs w:val="24"/>
        </w:rPr>
      </w:pPr>
      <w:r>
        <w:rPr>
          <w:sz w:val="24"/>
          <w:szCs w:val="24"/>
        </w:rPr>
        <w:t>В таких случаях ни одна из сторон не имеет право предъявлять претензии другой стороне по поводу возможных убытков.</w:t>
      </w:r>
    </w:p>
    <w:p>
      <w:pPr>
        <w:pStyle w:val="Normal"/>
        <w:jc w:val="both"/>
        <w:rPr>
          <w:sz w:val="24"/>
          <w:szCs w:val="24"/>
          <w:lang w:val="lt-LT"/>
        </w:rPr>
      </w:pPr>
      <w:r>
        <w:rPr>
          <w:sz w:val="24"/>
          <w:szCs w:val="24"/>
          <w:lang w:val="lt-LT"/>
        </w:rPr>
        <w:t>7.2.</w:t>
      </w:r>
      <w:r>
        <w:rPr>
          <w:sz w:val="24"/>
          <w:szCs w:val="24"/>
        </w:rPr>
        <w:t xml:space="preserve"> Сторона, для которой создалась невозможность исполнения обязательств по контракту, должна о наступлении и прекращении обстоятельств,  препятствующих исполнению обязательств, немедленно извещать письменно другую сторону. </w:t>
      </w:r>
    </w:p>
    <w:p>
      <w:pPr>
        <w:pStyle w:val="Normal"/>
        <w:jc w:val="both"/>
        <w:rPr>
          <w:sz w:val="24"/>
          <w:szCs w:val="24"/>
        </w:rPr>
      </w:pPr>
      <w:r>
        <w:rPr>
          <w:sz w:val="24"/>
          <w:szCs w:val="24"/>
        </w:rPr>
        <w:t xml:space="preserve">7.3. Надлежащим доказательством наличия форс-мажорных обстоятельств и их продолжительности будут служить справки, выдаваемые соответствующими Торгово-промышленными Палатами. </w:t>
      </w:r>
    </w:p>
    <w:p>
      <w:pPr>
        <w:pStyle w:val="Normal"/>
        <w:jc w:val="both"/>
        <w:rPr>
          <w:sz w:val="24"/>
          <w:szCs w:val="24"/>
          <w:lang w:val="lt-LT"/>
        </w:rPr>
      </w:pPr>
      <w:r>
        <w:rPr>
          <w:sz w:val="24"/>
          <w:szCs w:val="24"/>
          <w:lang w:val="lt-LT"/>
        </w:rPr>
      </w:r>
    </w:p>
    <w:p>
      <w:pPr>
        <w:pStyle w:val="Normal"/>
        <w:ind w:firstLine="709" w:end="0"/>
        <w:jc w:val="center"/>
        <w:rPr>
          <w:sz w:val="24"/>
          <w:szCs w:val="24"/>
        </w:rPr>
      </w:pPr>
      <w:r>
        <w:rPr>
          <w:b/>
          <w:sz w:val="24"/>
          <w:szCs w:val="24"/>
        </w:rPr>
        <w:t xml:space="preserve">8. ОТВЕТСТВЕННОСТЬ СТОРОН </w:t>
      </w:r>
    </w:p>
    <w:p>
      <w:pPr>
        <w:pStyle w:val="Normal"/>
        <w:ind w:firstLine="720" w:end="0"/>
        <w:jc w:val="both"/>
        <w:rPr>
          <w:b/>
          <w:sz w:val="24"/>
          <w:szCs w:val="24"/>
        </w:rPr>
      </w:pPr>
      <w:r>
        <w:rPr>
          <w:b/>
          <w:sz w:val="24"/>
          <w:szCs w:val="24"/>
        </w:rPr>
      </w:r>
    </w:p>
    <w:p>
      <w:pPr>
        <w:pStyle w:val="Normal"/>
        <w:jc w:val="both"/>
        <w:rPr/>
      </w:pPr>
      <w:r>
        <w:rPr>
          <w:sz w:val="24"/>
          <w:szCs w:val="24"/>
        </w:rPr>
        <w:t>8.1. За недопоставку или просрочку поставки  Товара, по вине Поставщика, Покупатель вправе письменно потребовать от  Поставщика уплаты пени  в размере 0,1 (Ноль целых одна десятая) процента от стоимости недопоставленного или не своевременно поставленного  Товара за каждый день недопоставки или просрочки поставки, но не более 5 % (Пять) процентов от суммы недопоставленного или не своевременно поставленного Товара, а Поставщик обязуется по первому письменному требованию Покупателя  уплатить последнему указанную, в настоящем пункте неустойку.</w:t>
      </w:r>
    </w:p>
    <w:p>
      <w:pPr>
        <w:pStyle w:val="Normal"/>
        <w:jc w:val="both"/>
        <w:rPr/>
      </w:pPr>
      <w:r>
        <w:rPr>
          <w:sz w:val="24"/>
          <w:szCs w:val="24"/>
          <w:lang w:val="en-US"/>
        </w:rPr>
        <w:t>8</w:t>
      </w:r>
      <w:r>
        <w:rPr>
          <w:sz w:val="24"/>
          <w:szCs w:val="24"/>
        </w:rPr>
        <w:t>.2.   За нарушение срока оплаты Товара, по вине Покупателя, Поставщик вправе письменно потребовать от   Покупателя уплаты  пени в размере 0,1  (Ноль целых одна десятая) процента от стоимости несвоевременно оплаченного Товара за каждый день просрочки, но не более 5 % (пять) процентов от неоплаченной суммы, а Покупатель обязуется по первому письменному требованию Поставщика  уплатить последнему указанную в настоящем пункте неустойку.</w:t>
      </w:r>
    </w:p>
    <w:p>
      <w:pPr>
        <w:pStyle w:val="Normal"/>
        <w:jc w:val="both"/>
        <w:rPr>
          <w:sz w:val="24"/>
          <w:szCs w:val="24"/>
          <w:lang w:val="lt-LT"/>
        </w:rPr>
      </w:pPr>
      <w:r>
        <w:rPr>
          <w:sz w:val="24"/>
          <w:szCs w:val="24"/>
          <w:lang w:val="lt-LT"/>
        </w:rPr>
      </w:r>
    </w:p>
    <w:p>
      <w:pPr>
        <w:pStyle w:val="Normal"/>
        <w:jc w:val="center"/>
        <w:rPr/>
      </w:pPr>
      <w:r>
        <w:rPr>
          <w:b/>
          <w:sz w:val="24"/>
          <w:szCs w:val="24"/>
        </w:rPr>
        <w:t>9. АРБИТРАЖ</w:t>
      </w:r>
    </w:p>
    <w:p>
      <w:pPr>
        <w:pStyle w:val="Normal"/>
        <w:jc w:val="both"/>
        <w:rPr>
          <w:b/>
          <w:sz w:val="24"/>
          <w:szCs w:val="24"/>
        </w:rPr>
      </w:pPr>
      <w:r>
        <w:rPr>
          <w:b/>
          <w:sz w:val="24"/>
          <w:szCs w:val="24"/>
        </w:rPr>
      </w:r>
    </w:p>
    <w:p>
      <w:pPr>
        <w:pStyle w:val="Normal"/>
        <w:jc w:val="both"/>
        <w:rPr/>
      </w:pPr>
      <w:r>
        <w:rPr>
          <w:bCs/>
          <w:sz w:val="24"/>
          <w:szCs w:val="24"/>
        </w:rPr>
        <w:t>9.1.</w:t>
      </w:r>
      <w:r>
        <w:rPr>
          <w:sz w:val="24"/>
          <w:szCs w:val="24"/>
        </w:rPr>
        <w:t xml:space="preserve"> Все споры по настоящему Контракту решаются путем переговоров. </w:t>
      </w:r>
    </w:p>
    <w:p>
      <w:pPr>
        <w:pStyle w:val="Normal"/>
        <w:jc w:val="both"/>
        <w:rPr/>
      </w:pPr>
      <w:r>
        <w:rPr>
          <w:sz w:val="24"/>
          <w:szCs w:val="24"/>
        </w:rPr>
        <w:t>9.2. В случае если Стороны не достигнут согласия путем внесудебного урегулирования споров, споры между ними решаются в Международном коммерческом арбитражном суде при Торгово-промышленной палате Российской Федерации.</w:t>
      </w:r>
    </w:p>
    <w:p>
      <w:pPr>
        <w:pStyle w:val="Normal"/>
        <w:jc w:val="both"/>
        <w:rPr>
          <w:sz w:val="24"/>
          <w:szCs w:val="24"/>
        </w:rPr>
      </w:pPr>
      <w:r>
        <w:rPr>
          <w:sz w:val="24"/>
          <w:szCs w:val="24"/>
        </w:rPr>
        <w:t>Применимое право – право Российской Федерации.</w:t>
      </w:r>
    </w:p>
    <w:p>
      <w:pPr>
        <w:pStyle w:val="Normal"/>
        <w:jc w:val="both"/>
        <w:rPr>
          <w:sz w:val="24"/>
          <w:szCs w:val="24"/>
        </w:rPr>
      </w:pPr>
      <w:r>
        <w:rPr>
          <w:sz w:val="24"/>
          <w:szCs w:val="24"/>
        </w:rPr>
        <w:t>Язык судебного разбирательства – русский.</w:t>
      </w:r>
    </w:p>
    <w:p>
      <w:pPr>
        <w:pStyle w:val="Normal"/>
        <w:jc w:val="both"/>
        <w:rPr/>
      </w:pPr>
      <w:r>
        <w:rPr>
          <w:sz w:val="24"/>
          <w:szCs w:val="24"/>
        </w:rPr>
        <w:t>9.3. Стороны обязуются соблюдать строгую конфиденциальность в отношении содержания арбитражного разбирательства.</w:t>
      </w:r>
    </w:p>
    <w:p>
      <w:pPr>
        <w:pStyle w:val="Normal"/>
        <w:jc w:val="both"/>
        <w:rPr>
          <w:sz w:val="24"/>
          <w:szCs w:val="24"/>
        </w:rPr>
      </w:pPr>
      <w:r>
        <w:rPr>
          <w:sz w:val="24"/>
          <w:szCs w:val="24"/>
        </w:rPr>
      </w:r>
    </w:p>
    <w:p>
      <w:pPr>
        <w:pStyle w:val="Normal"/>
        <w:jc w:val="center"/>
        <w:rPr>
          <w:b/>
          <w:color w:val="000000"/>
          <w:sz w:val="24"/>
          <w:szCs w:val="24"/>
        </w:rPr>
      </w:pPr>
      <w:r>
        <w:rPr>
          <w:b/>
          <w:color w:val="000000"/>
          <w:sz w:val="24"/>
          <w:szCs w:val="24"/>
        </w:rPr>
        <w:t>10. КОНФИДЕНЦИАЛЬНОСТЬ</w:t>
      </w:r>
    </w:p>
    <w:p>
      <w:pPr>
        <w:pStyle w:val="Normal"/>
        <w:rPr>
          <w:b/>
          <w:color w:val="000000"/>
          <w:sz w:val="24"/>
          <w:szCs w:val="24"/>
        </w:rPr>
      </w:pPr>
      <w:r>
        <w:rPr>
          <w:b/>
          <w:color w:val="000000"/>
          <w:sz w:val="24"/>
          <w:szCs w:val="24"/>
        </w:rPr>
      </w:r>
    </w:p>
    <w:p>
      <w:pPr>
        <w:pStyle w:val="Normal"/>
        <w:jc w:val="both"/>
        <w:rPr>
          <w:sz w:val="24"/>
          <w:szCs w:val="24"/>
        </w:rPr>
      </w:pPr>
      <w:r>
        <w:rPr>
          <w:sz w:val="24"/>
          <w:szCs w:val="24"/>
        </w:rPr>
        <w:t>10.1. Стороны обязуются во время действия настоящего Контракта и в течение 5 (пять) лет после окончания его срока не предавать гласности конфиденциальную информацию и информацию, составляющую коммерческую тайну (далее по тексту - конфиденциальная информация)  полученную от  другой Стороны.</w:t>
      </w:r>
    </w:p>
    <w:p>
      <w:pPr>
        <w:pStyle w:val="Normal"/>
        <w:ind w:firstLine="720" w:end="0"/>
        <w:jc w:val="both"/>
        <w:rPr>
          <w:sz w:val="24"/>
          <w:szCs w:val="24"/>
        </w:rPr>
      </w:pPr>
      <w:r>
        <w:rPr>
          <w:sz w:val="24"/>
          <w:szCs w:val="24"/>
        </w:rPr>
        <w:t>Под конфиденциальной информацией Сторонами признается информация, в отношении которой  Стороной  при ее передаче другой Стороне введен режим  конфиденциальной информации или режим коммерческой тайны.</w:t>
      </w:r>
    </w:p>
    <w:p>
      <w:pPr>
        <w:pStyle w:val="Footer"/>
        <w:jc w:val="both"/>
        <w:rPr>
          <w:sz w:val="24"/>
          <w:szCs w:val="24"/>
        </w:rPr>
      </w:pPr>
      <w:r>
        <w:rPr>
          <w:sz w:val="24"/>
          <w:szCs w:val="24"/>
        </w:rPr>
        <w:t>10.2. Стороны письменно уведомляют друг друга о лицах, ответственных за прием и передачу конфиденциальной информации.</w:t>
      </w:r>
    </w:p>
    <w:p>
      <w:pPr>
        <w:pStyle w:val="Footer"/>
        <w:ind w:firstLine="709" w:end="0"/>
        <w:jc w:val="both"/>
        <w:rPr>
          <w:sz w:val="24"/>
          <w:szCs w:val="24"/>
        </w:rPr>
      </w:pPr>
      <w:r>
        <w:rPr>
          <w:sz w:val="24"/>
          <w:szCs w:val="24"/>
        </w:rPr>
        <w:t xml:space="preserve">Контроль за соблюдением порядка пользования  и  хранения конфиденциальной информации,  обеспечивается в соответствии с внутренним порядком хранения  конфиденциальной информации  каждой из Сторон. </w:t>
      </w:r>
    </w:p>
    <w:p>
      <w:pPr>
        <w:pStyle w:val="Footer"/>
        <w:ind w:firstLine="709" w:end="0"/>
        <w:jc w:val="both"/>
        <w:rPr>
          <w:sz w:val="24"/>
          <w:szCs w:val="24"/>
        </w:rPr>
      </w:pPr>
      <w:r>
        <w:rPr>
          <w:sz w:val="24"/>
          <w:szCs w:val="24"/>
        </w:rPr>
        <w:t>Передача конфиденциальной информации по открытым каналам телефонной, телеграфной, факсимильной связи или с использованием незакодированной информации по  «Интернет» каналам  запрещена.</w:t>
      </w:r>
    </w:p>
    <w:p>
      <w:pPr>
        <w:pStyle w:val="BodyTextIndent"/>
        <w:ind w:hanging="0" w:end="0"/>
        <w:rPr>
          <w:szCs w:val="24"/>
        </w:rPr>
      </w:pPr>
      <w:r>
        <w:rPr>
          <w:szCs w:val="24"/>
        </w:rPr>
        <w:t xml:space="preserve">10.3. Если конфиденциальная информация  стала достоянием гласности или была раскрыта третьему лицу в нарушение условий настоящего Контракта, то Сторона чья информация, составляющая конфиденциальную информацию была раскрыта, вправе обратиться к Стороне, раскрывшей такую информацию,  с требованиями о возмещении убытков в соответствии со ст.15 и ст.393 ГК РФ, включая затраты, связанные с судебным разбирательством в связи с  раскрытием конфиденциальной  информации. </w:t>
      </w:r>
    </w:p>
    <w:p>
      <w:pPr>
        <w:pStyle w:val="BodyTextIndent"/>
        <w:ind w:firstLine="709" w:end="0"/>
        <w:rPr>
          <w:szCs w:val="24"/>
        </w:rPr>
      </w:pPr>
      <w:r>
        <w:rPr>
          <w:szCs w:val="24"/>
        </w:rPr>
      </w:r>
    </w:p>
    <w:p>
      <w:pPr>
        <w:pStyle w:val="Normal"/>
        <w:jc w:val="center"/>
        <w:rPr/>
      </w:pPr>
      <w:r>
        <w:rPr>
          <w:b/>
          <w:sz w:val="24"/>
          <w:szCs w:val="24"/>
        </w:rPr>
        <w:t>11. ПРОЧИЕ ПОЛОЖЕНИЯ</w:t>
      </w:r>
    </w:p>
    <w:p>
      <w:pPr>
        <w:pStyle w:val="Normal"/>
        <w:jc w:val="both"/>
        <w:rPr>
          <w:b/>
          <w:sz w:val="24"/>
          <w:szCs w:val="24"/>
        </w:rPr>
      </w:pPr>
      <w:r>
        <w:rPr>
          <w:b/>
          <w:sz w:val="24"/>
          <w:szCs w:val="24"/>
        </w:rPr>
      </w:r>
    </w:p>
    <w:p>
      <w:pPr>
        <w:pStyle w:val="Normal"/>
        <w:jc w:val="both"/>
        <w:rPr/>
      </w:pPr>
      <w:r>
        <w:rPr>
          <w:sz w:val="24"/>
          <w:szCs w:val="24"/>
        </w:rPr>
        <w:t xml:space="preserve">11.1. Сторона не вправе передавать свои права и обязанности по настоящему Контракту третьим лицам без письменного согласия (включая телекс) другой Стороны. </w:t>
      </w:r>
    </w:p>
    <w:p>
      <w:pPr>
        <w:pStyle w:val="Normal"/>
        <w:jc w:val="both"/>
        <w:rPr/>
      </w:pPr>
      <w:r>
        <w:rPr>
          <w:sz w:val="24"/>
          <w:szCs w:val="24"/>
        </w:rPr>
        <w:t>11.2. С момента подписания данного Контракта все предыдущие переговоры и переписка по нему теряют силу.</w:t>
      </w:r>
    </w:p>
    <w:p>
      <w:pPr>
        <w:pStyle w:val="Normal"/>
        <w:jc w:val="both"/>
        <w:rPr/>
      </w:pPr>
      <w:r>
        <w:rPr>
          <w:sz w:val="24"/>
          <w:szCs w:val="24"/>
        </w:rPr>
        <w:t>11.3. Любые изменения и дополнения к Контракту действительны лишь при условии, если они совершены в письменной форме и подписаны обеими Сторонами, уполномоченными на то лицами. Все дополнения и приложения являются неотъемлемой частью настоящего Контракта.</w:t>
      </w:r>
    </w:p>
    <w:p>
      <w:pPr>
        <w:pStyle w:val="Normal"/>
        <w:jc w:val="both"/>
        <w:rPr/>
      </w:pPr>
      <w:r>
        <w:rPr>
          <w:sz w:val="24"/>
          <w:szCs w:val="24"/>
        </w:rPr>
        <w:t xml:space="preserve">11.4. Все условия настоящего контракта, если не оговорено иное, действуют в соответствии с </w:t>
      </w:r>
      <w:r>
        <w:rPr>
          <w:sz w:val="24"/>
          <w:szCs w:val="24"/>
          <w:lang w:val="en-US"/>
        </w:rPr>
        <w:t>Incoterms</w:t>
      </w:r>
      <w:r>
        <w:rPr>
          <w:sz w:val="24"/>
          <w:szCs w:val="24"/>
        </w:rPr>
        <w:t xml:space="preserve"> 2010. </w:t>
      </w:r>
    </w:p>
    <w:p>
      <w:pPr>
        <w:pStyle w:val="Normal"/>
        <w:jc w:val="both"/>
        <w:rPr/>
      </w:pPr>
      <w:r>
        <w:rPr>
          <w:sz w:val="24"/>
          <w:szCs w:val="24"/>
        </w:rPr>
        <w:t>11.5. Настоящий Контракт составлен на русском и ____________ языках в двух экземплярах, при этом текст Контракта на русском языке имеет преимущественную силу.</w:t>
      </w:r>
    </w:p>
    <w:p>
      <w:pPr>
        <w:pStyle w:val="Normal"/>
        <w:jc w:val="both"/>
        <w:rPr/>
      </w:pPr>
      <w:r>
        <w:rPr>
          <w:sz w:val="24"/>
          <w:szCs w:val="24"/>
        </w:rPr>
        <w:t>11.6. Контракт может быть подписан по факсу с последующим предоставлением подписанных оригиналов один для Продавца, один для Покупателя.</w:t>
      </w:r>
    </w:p>
    <w:p>
      <w:pPr>
        <w:pStyle w:val="Normal"/>
        <w:jc w:val="both"/>
        <w:rPr/>
      </w:pPr>
      <w:r>
        <w:rPr>
          <w:sz w:val="24"/>
          <w:szCs w:val="24"/>
        </w:rPr>
        <w:t>11.7. Контракт действует со дня его подписания до _____________________, а в части взаиморасчетов -  до полного их завершения.</w:t>
      </w:r>
    </w:p>
    <w:p>
      <w:pPr>
        <w:pStyle w:val="Normal"/>
        <w:jc w:val="both"/>
        <w:rPr>
          <w:b/>
          <w:sz w:val="24"/>
          <w:szCs w:val="24"/>
        </w:rPr>
      </w:pPr>
      <w:r>
        <w:rPr>
          <w:sz w:val="24"/>
          <w:szCs w:val="24"/>
        </w:rPr>
        <w:tab/>
      </w:r>
    </w:p>
    <w:p>
      <w:pPr>
        <w:pStyle w:val="BodyText"/>
        <w:ind w:start="-426" w:end="0"/>
        <w:jc w:val="center"/>
        <w:rPr>
          <w:b/>
          <w:bCs/>
          <w:sz w:val="24"/>
          <w:szCs w:val="24"/>
        </w:rPr>
      </w:pPr>
      <w:r>
        <w:rPr>
          <w:b/>
          <w:bCs/>
          <w:sz w:val="24"/>
          <w:szCs w:val="24"/>
        </w:rPr>
        <w:t>12. АДРЕСА, РЕКВИЗИТЫ И ПОДПИСИ СТОРОН</w:t>
      </w:r>
    </w:p>
    <w:p>
      <w:pPr>
        <w:pStyle w:val="Normal"/>
        <w:ind w:end="-144"/>
        <w:jc w:val="both"/>
        <w:rPr>
          <w:b/>
          <w:bCs/>
          <w:color w:val="000000"/>
          <w:sz w:val="24"/>
          <w:szCs w:val="24"/>
        </w:rPr>
      </w:pPr>
      <w:r>
        <w:rPr>
          <w:b/>
          <w:bCs/>
          <w:color w:val="000000"/>
          <w:sz w:val="24"/>
          <w:szCs w:val="24"/>
        </w:rPr>
      </w:r>
    </w:p>
    <w:tbl>
      <w:tblPr>
        <w:tblW w:w="9357" w:type="dxa"/>
        <w:jc w:val="start"/>
        <w:tblInd w:w="70" w:type="dxa"/>
        <w:tblLayout w:type="fixed"/>
        <w:tblCellMar>
          <w:top w:w="0" w:type="dxa"/>
          <w:start w:w="70" w:type="dxa"/>
          <w:bottom w:w="0" w:type="dxa"/>
          <w:end w:w="70" w:type="dxa"/>
        </w:tblCellMar>
      </w:tblPr>
      <w:tblGrid>
        <w:gridCol w:w="4537"/>
        <w:gridCol w:w="4820"/>
      </w:tblGrid>
      <w:tr>
        <w:trPr>
          <w:trHeight w:val="882" w:hRule="atLeast"/>
          <w:cantSplit w:val="true"/>
        </w:trPr>
        <w:tc>
          <w:tcPr>
            <w:tcW w:w="4537" w:type="dxa"/>
            <w:tcBorders/>
          </w:tcPr>
          <w:p>
            <w:pPr>
              <w:pStyle w:val="Normal"/>
              <w:shd w:fill="FFFFFF" w:val="clear"/>
              <w:spacing w:lineRule="exact" w:line="230"/>
              <w:ind w:start="14" w:end="0"/>
              <w:rPr>
                <w:b/>
                <w:sz w:val="24"/>
                <w:szCs w:val="24"/>
              </w:rPr>
            </w:pPr>
            <w:r>
              <w:rPr>
                <w:b/>
                <w:sz w:val="24"/>
                <w:szCs w:val="24"/>
              </w:rPr>
              <w:t>ПОСТАВЩИК</w:t>
            </w:r>
          </w:p>
          <w:p>
            <w:pPr>
              <w:pStyle w:val="Normal"/>
              <w:shd w:fill="FFFFFF" w:val="clear"/>
              <w:spacing w:lineRule="exact" w:line="230"/>
              <w:ind w:start="14" w:end="0"/>
              <w:rPr>
                <w:b/>
                <w:sz w:val="24"/>
                <w:szCs w:val="24"/>
              </w:rPr>
            </w:pPr>
            <w:r>
              <w:rPr>
                <w:b/>
                <w:sz w:val="24"/>
                <w:szCs w:val="24"/>
              </w:rPr>
            </w:r>
          </w:p>
          <w:p>
            <w:pPr>
              <w:pStyle w:val="Normal"/>
              <w:rPr>
                <w:sz w:val="24"/>
                <w:szCs w:val="24"/>
              </w:rPr>
            </w:pPr>
            <w:r>
              <w:rPr>
                <w:sz w:val="24"/>
                <w:szCs w:val="24"/>
              </w:rPr>
            </w:r>
          </w:p>
        </w:tc>
        <w:tc>
          <w:tcPr>
            <w:tcW w:w="4820" w:type="dxa"/>
            <w:tcBorders/>
          </w:tcPr>
          <w:p>
            <w:pPr>
              <w:pStyle w:val="Normal"/>
              <w:rPr>
                <w:b/>
                <w:sz w:val="24"/>
                <w:szCs w:val="24"/>
              </w:rPr>
            </w:pPr>
            <w:r>
              <w:rPr>
                <w:b/>
                <w:sz w:val="24"/>
                <w:szCs w:val="24"/>
              </w:rPr>
              <w:t>ПОКУПАТЕЛЬ:</w:t>
            </w:r>
          </w:p>
          <w:p>
            <w:pPr>
              <w:pStyle w:val="Normal"/>
              <w:rPr>
                <w:b/>
                <w:sz w:val="24"/>
                <w:szCs w:val="24"/>
              </w:rPr>
            </w:pPr>
            <w:r>
              <w:rPr>
                <w:b/>
                <w:sz w:val="24"/>
                <w:szCs w:val="24"/>
              </w:rPr>
            </w:r>
          </w:p>
        </w:tc>
      </w:tr>
    </w:tbl>
    <w:p>
      <w:pPr>
        <w:pStyle w:val="Normal"/>
        <w:rPr>
          <w:sz w:val="24"/>
          <w:szCs w:val="24"/>
        </w:rPr>
      </w:pPr>
      <w:r>
        <w:rPr>
          <w:sz w:val="24"/>
          <w:szCs w:val="24"/>
        </w:rPr>
      </w:r>
    </w:p>
    <w:sectPr>
      <w:headerReference w:type="default" r:id="rId2"/>
      <w:footerReference w:type="default" r:id="rId3"/>
      <w:type w:val="nextPage"/>
      <w:pgSz w:w="11906" w:h="16838"/>
      <w:pgMar w:left="992" w:right="567" w:gutter="0" w:header="153" w:top="851" w:footer="2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Arial">
    <w:charset w:val="cc" w:characterSet="windows-1251"/>
    <w:family w:val="swiss"/>
    <w:pitch w:val="variable"/>
  </w:font>
  <w:font w:name="Tahoma">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sz w:val="20"/>
      </w:rPr>
    </w:pPr>
    <w:r>
      <w:rPr>
        <w:sz w:val="20"/>
      </w:rPr>
      <w:t xml:space="preserve">        </w:t>
    </w:r>
  </w:p>
  <w:p>
    <w:pPr>
      <w:pStyle w:val="Footer"/>
      <w:ind w:end="360"/>
      <w:rPr>
        <w:sz w:val="20"/>
      </w:rPr>
    </w:pPr>
    <w:r>
      <w:rPr>
        <w:sz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0"/>
      </w:rPr>
    </w:pPr>
    <w:r>
      <w:rPr>
        <w:sz w:val="20"/>
      </w:rPr>
    </w:r>
    <w:r>
      <mc:AlternateContent>
        <mc:Choice Requires="wps">
          <w:drawing>
            <wp:anchor distT="0" distB="0" distL="0" distR="0" simplePos="0" relativeHeight="5" behindDoc="0" locked="0" layoutInCell="0" allowOverlap="1">
              <wp:simplePos x="0" y="0"/>
              <wp:positionH relativeFrom="margin">
                <wp:align>right</wp:align>
              </wp:positionH>
              <wp:positionV relativeFrom="paragraph">
                <wp:posOffset>635</wp:posOffset>
              </wp:positionV>
              <wp:extent cx="1460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Header"/>
                            <w:rPr>
                              <w:rStyle w:val="PageNumber"/>
                              <w:sz w:val="18"/>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516.2pt;mso-position-horizontal:right;mso-position-horizontal-relative:margin">
              <v:fill opacity="0f"/>
              <v:textbox inset="0in,0in,0in,0in">
                <w:txbxContent>
                  <w:p>
                    <w:pPr>
                      <w:pStyle w:val="Header"/>
                      <w:rPr>
                        <w:rStyle w:val="PageNumber"/>
                        <w:sz w:val="18"/>
                      </w:rPr>
                    </w:pPr>
                    <w:r>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bidi="ar-SA" w:val="ru-RU" w:eastAsia="zh-CN"/>
    </w:rPr>
  </w:style>
  <w:style w:type="paragraph" w:styleId="Heading1">
    <w:name w:val="heading 1"/>
    <w:basedOn w:val="Normal"/>
    <w:next w:val="Normal"/>
    <w:qFormat/>
    <w:pPr>
      <w:keepNext w:val="true"/>
      <w:numPr>
        <w:ilvl w:val="0"/>
        <w:numId w:val="1"/>
      </w:numPr>
      <w:spacing w:before="120" w:after="0"/>
      <w:ind w:firstLine="709" w:start="0" w:end="0"/>
      <w:jc w:val="center"/>
      <w:outlineLvl w:val="0"/>
    </w:pPr>
    <w:rPr>
      <w:b/>
      <w:sz w:val="24"/>
    </w:rPr>
  </w:style>
  <w:style w:type="paragraph" w:styleId="Heading2">
    <w:name w:val="heading 2"/>
    <w:basedOn w:val="Normal"/>
    <w:next w:val="Normal"/>
    <w:qFormat/>
    <w:pPr>
      <w:keepNext w:val="true"/>
      <w:numPr>
        <w:ilvl w:val="1"/>
        <w:numId w:val="1"/>
      </w:numPr>
      <w:spacing w:before="120" w:after="0"/>
      <w:ind w:firstLine="709" w:start="0" w:end="0"/>
      <w:jc w:val="both"/>
      <w:outlineLvl w:val="1"/>
    </w:pPr>
    <w:rPr>
      <w:b/>
      <w:sz w:val="24"/>
    </w:rPr>
  </w:style>
  <w:style w:type="paragraph" w:styleId="Heading3">
    <w:name w:val="heading 3"/>
    <w:basedOn w:val="Normal"/>
    <w:next w:val="Normal"/>
    <w:qFormat/>
    <w:pPr>
      <w:keepNext w:val="true"/>
      <w:numPr>
        <w:ilvl w:val="2"/>
        <w:numId w:val="1"/>
      </w:numPr>
      <w:jc w:val="both"/>
      <w:outlineLvl w:val="2"/>
    </w:pPr>
    <w:rPr>
      <w:b/>
      <w:sz w:val="24"/>
    </w:rPr>
  </w:style>
  <w:style w:type="paragraph" w:styleId="Heading4">
    <w:name w:val="heading 4"/>
    <w:basedOn w:val="Normal"/>
    <w:next w:val="Normal"/>
    <w:qFormat/>
    <w:pPr>
      <w:keepNext w:val="true"/>
      <w:numPr>
        <w:ilvl w:val="3"/>
        <w:numId w:val="1"/>
      </w:numPr>
      <w:ind w:firstLine="709" w:start="0" w:end="0"/>
      <w:jc w:val="both"/>
      <w:outlineLvl w:val="3"/>
    </w:pPr>
    <w:rPr>
      <w:sz w:val="24"/>
    </w:rPr>
  </w:style>
  <w:style w:type="paragraph" w:styleId="Heading5">
    <w:name w:val="heading 5"/>
    <w:basedOn w:val="Normal"/>
    <w:next w:val="Normal"/>
    <w:qFormat/>
    <w:pPr>
      <w:keepNext w:val="true"/>
      <w:numPr>
        <w:ilvl w:val="4"/>
        <w:numId w:val="1"/>
      </w:numPr>
      <w:spacing w:before="120" w:after="0"/>
      <w:outlineLvl w:val="4"/>
    </w:pPr>
    <w:rPr>
      <w:bCs/>
      <w:i/>
      <w:iCs/>
      <w:sz w:val="24"/>
    </w:rPr>
  </w:style>
  <w:style w:type="paragraph" w:styleId="Heading6">
    <w:name w:val="heading 6"/>
    <w:basedOn w:val="Normal"/>
    <w:next w:val="Normal"/>
    <w:qFormat/>
    <w:pPr>
      <w:keepNext w:val="true"/>
      <w:numPr>
        <w:ilvl w:val="5"/>
        <w:numId w:val="1"/>
      </w:numPr>
      <w:jc w:val="center"/>
      <w:outlineLvl w:val="5"/>
    </w:pPr>
    <w:rPr/>
  </w:style>
  <w:style w:type="paragraph" w:styleId="Heading7">
    <w:name w:val="heading 7"/>
    <w:basedOn w:val="Normal"/>
    <w:next w:val="Normal"/>
    <w:qFormat/>
    <w:pPr>
      <w:keepNext w:val="true"/>
      <w:numPr>
        <w:ilvl w:val="6"/>
        <w:numId w:val="1"/>
      </w:numPr>
      <w:outlineLvl w:val="6"/>
    </w:pPr>
    <w:rPr>
      <w:b/>
      <w:bCs/>
      <w:sz w:val="24"/>
    </w:rPr>
  </w:style>
  <w:style w:type="paragraph" w:styleId="Heading8">
    <w:name w:val="heading 8"/>
    <w:basedOn w:val="Normal"/>
    <w:next w:val="Normal"/>
    <w:qFormat/>
    <w:pPr>
      <w:keepNext w:val="true"/>
      <w:numPr>
        <w:ilvl w:val="7"/>
        <w:numId w:val="1"/>
      </w:numPr>
      <w:spacing w:before="100" w:after="0"/>
      <w:jc w:val="center"/>
      <w:outlineLvl w:val="7"/>
    </w:pPr>
    <w:rPr>
      <w:b/>
      <w:sz w:val="24"/>
    </w:rPr>
  </w:style>
  <w:style w:type="character" w:styleId="WW8Num1z0">
    <w:name w:val="WW8Num1z0"/>
    <w:qFormat/>
    <w:rPr>
      <w:rFonts w:cs="Times New Roman"/>
    </w:rPr>
  </w:style>
  <w:style w:type="character" w:styleId="WW8Num1z1">
    <w:name w:val="WW8Num1z1"/>
    <w:qFormat/>
    <w:rPr>
      <w:rFonts w:cs="Times New Roman"/>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b w:val="false"/>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8z0">
    <w:name w:val="WW8Num18z0"/>
    <w:qFormat/>
    <w:rPr>
      <w:b w:val="false"/>
    </w:rPr>
  </w:style>
  <w:style w:type="character" w:styleId="WW8Num19z0">
    <w:name w:val="WW8Num19z0"/>
    <w:qFormat/>
    <w:rPr>
      <w:b/>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4z0">
    <w:name w:val="WW8Num24z0"/>
    <w:qFormat/>
    <w:rPr>
      <w:rFonts w:ascii="Times New Roman" w:hAnsi="Times New Roman" w:eastAsia="Times New Roman" w:cs="Times New Roman"/>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style>
  <w:style w:type="character" w:styleId="WW8Num26z0">
    <w:name w:val="WW8Num26z0"/>
    <w:qFormat/>
    <w:rPr/>
  </w:style>
  <w:style w:type="character" w:styleId="WW8Num27z0">
    <w:name w:val="WW8Num27z0"/>
    <w:qFormat/>
    <w:rPr/>
  </w:style>
  <w:style w:type="character" w:styleId="WW8Num27z1">
    <w:name w:val="WW8Num27z1"/>
    <w:qFormat/>
    <w:rPr>
      <w:b/>
    </w:rPr>
  </w:style>
  <w:style w:type="character" w:styleId="WW8Num28z0">
    <w:name w:val="WW8Num28z0"/>
    <w:qFormat/>
    <w:rPr>
      <w:b w:val="false"/>
    </w:rPr>
  </w:style>
  <w:style w:type="character" w:styleId="WW8Num29z0">
    <w:name w:val="WW8Num29z0"/>
    <w:qFormat/>
    <w:rPr/>
  </w:style>
  <w:style w:type="character" w:styleId="Style6">
    <w:name w:val="Основной шрифт абзаца"/>
    <w:qFormat/>
    <w:rPr/>
  </w:style>
  <w:style w:type="character" w:styleId="PageNumber">
    <w:name w:val="page number"/>
    <w:basedOn w:val="Style6"/>
    <w:rPr/>
  </w:style>
  <w:style w:type="character" w:styleId="FootnoteCharacters">
    <w:name w:val="Footnote Characters"/>
    <w:basedOn w:val="Style6"/>
    <w:qFormat/>
    <w:rPr>
      <w:vertAlign w:val="superscript"/>
    </w:rPr>
  </w:style>
  <w:style w:type="character" w:styleId="Style7">
    <w:name w:val="Знак примечания"/>
    <w:basedOn w:val="Style6"/>
    <w:qFormat/>
    <w:rPr>
      <w:sz w:val="16"/>
      <w:szCs w:val="16"/>
    </w:rPr>
  </w:style>
  <w:style w:type="character" w:styleId="DeltaViewInsertion">
    <w:name w:val="DeltaView Insertion"/>
    <w:qFormat/>
    <w:rPr>
      <w:color w:val="0000FF"/>
      <w:spacing w:val="0"/>
      <w:u w:val="double"/>
    </w:rPr>
  </w:style>
  <w:style w:type="character" w:styleId="Normal1">
    <w:name w:val="Normal Знак"/>
    <w:basedOn w:val="Style6"/>
    <w:qFormat/>
    <w:rPr>
      <w:rFonts w:ascii="Arial" w:hAnsi="Arial" w:cs="Arial"/>
      <w:sz w:val="22"/>
      <w:lang w:bidi="ar-SA"/>
    </w:rPr>
  </w:style>
  <w:style w:type="character" w:styleId="Style8">
    <w:name w:val="Нижний колонтитул Знак"/>
    <w:basedOn w:val="Style6"/>
    <w:qFormat/>
    <w:rPr/>
  </w:style>
  <w:style w:type="paragraph" w:styleId="Heading">
    <w:name w:val="Heading"/>
    <w:basedOn w:val="Normal"/>
    <w:next w:val="BodyText"/>
    <w:qFormat/>
    <w:pPr>
      <w:jc w:val="center"/>
    </w:pPr>
    <w:rPr>
      <w:b/>
      <w:sz w:val="24"/>
    </w:rPr>
  </w:style>
  <w:style w:type="paragraph" w:styleId="BodyText">
    <w:name w:val="Body Text"/>
    <w:basedOn w:val="Normal"/>
    <w:pPr>
      <w:jc w:val="both"/>
    </w:pPr>
    <w:rPr>
      <w:sz w:val="2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z w:val="28"/>
    </w:rPr>
  </w:style>
  <w:style w:type="paragraph" w:styleId="2">
    <w:name w:val="Основной текст с отступом 2"/>
    <w:basedOn w:val="Normal"/>
    <w:qFormat/>
    <w:pPr>
      <w:ind w:firstLine="709" w:start="0" w:end="0"/>
      <w:jc w:val="both"/>
    </w:pPr>
    <w:rPr>
      <w:sz w:val="24"/>
    </w:rPr>
  </w:style>
  <w:style w:type="paragraph" w:styleId="BodyTextIndent">
    <w:name w:val="Body Text Indent"/>
    <w:basedOn w:val="Normal"/>
    <w:pPr>
      <w:ind w:firstLine="567" w:start="0" w:end="0"/>
      <w:jc w:val="both"/>
    </w:pPr>
    <w:rPr>
      <w:sz w:val="24"/>
    </w:rPr>
  </w:style>
  <w:style w:type="paragraph" w:styleId="3">
    <w:name w:val="Основной текст с отступом 3"/>
    <w:basedOn w:val="Normal"/>
    <w:qFormat/>
    <w:pPr>
      <w:spacing w:before="60" w:after="0"/>
      <w:ind w:firstLine="709" w:start="0" w:end="0"/>
      <w:jc w:val="both"/>
    </w:pPr>
    <w:rPr>
      <w:sz w:val="24"/>
      <w:u w:val="single"/>
    </w:rPr>
  </w:style>
  <w:style w:type="paragraph" w:styleId="Style9">
    <w:name w:val="Схема документа"/>
    <w:basedOn w:val="Normal"/>
    <w:qFormat/>
    <w:pPr>
      <w:shd w:fill="000080" w:val="clear"/>
    </w:pPr>
    <w:rPr>
      <w:rFonts w:ascii="Tahoma" w:hAnsi="Tahoma" w:cs="Tahoma"/>
    </w:rPr>
  </w:style>
  <w:style w:type="paragraph" w:styleId="21">
    <w:name w:val="Основной текст 2"/>
    <w:basedOn w:val="Normal"/>
    <w:qFormat/>
    <w:pPr>
      <w:spacing w:before="60" w:after="0"/>
      <w:jc w:val="both"/>
    </w:pPr>
    <w:rPr>
      <w:sz w:val="24"/>
    </w:rPr>
  </w:style>
  <w:style w:type="paragraph" w:styleId="Footer">
    <w:name w:val="footer"/>
    <w:basedOn w:val="Normal"/>
    <w:pPr>
      <w:tabs>
        <w:tab w:val="clear" w:pos="720"/>
        <w:tab w:val="center" w:pos="4677" w:leader="none"/>
        <w:tab w:val="right" w:pos="9355" w:leader="none"/>
      </w:tabs>
    </w:pPr>
    <w:rPr/>
  </w:style>
  <w:style w:type="paragraph" w:styleId="31">
    <w:name w:val="Основной текст 3"/>
    <w:basedOn w:val="Normal"/>
    <w:qFormat/>
    <w:pPr>
      <w:spacing w:before="120" w:after="0"/>
      <w:jc w:val="both"/>
    </w:pPr>
    <w:rPr>
      <w:b/>
      <w:bCs/>
      <w:i/>
      <w:sz w:val="24"/>
    </w:rPr>
  </w:style>
  <w:style w:type="paragraph" w:styleId="FootnoteText">
    <w:name w:val="footnote text"/>
    <w:basedOn w:val="Normal"/>
    <w:pPr/>
    <w:rPr/>
  </w:style>
  <w:style w:type="paragraph" w:styleId="Style10">
    <w:name w:val="Название объекта"/>
    <w:basedOn w:val="Normal"/>
    <w:qFormat/>
    <w:pPr>
      <w:jc w:val="center"/>
    </w:pPr>
    <w:rPr>
      <w:b/>
      <w:sz w:val="24"/>
    </w:rPr>
  </w:style>
  <w:style w:type="paragraph" w:styleId="Style11">
    <w:name w:val="Текст выноски"/>
    <w:basedOn w:val="Normal"/>
    <w:qFormat/>
    <w:pPr/>
    <w:rPr>
      <w:rFonts w:ascii="Tahoma" w:hAnsi="Tahoma" w:cs="Tahoma"/>
      <w:sz w:val="16"/>
      <w:szCs w:val="16"/>
    </w:rPr>
  </w:style>
  <w:style w:type="paragraph" w:styleId="Style12">
    <w:name w:val="Цитата"/>
    <w:basedOn w:val="Normal"/>
    <w:qFormat/>
    <w:pPr>
      <w:spacing w:lineRule="auto" w:line="259"/>
      <w:ind w:hanging="0" w:start="-142" w:end="-483"/>
      <w:jc w:val="both"/>
    </w:pPr>
    <w:rPr>
      <w:sz w:val="24"/>
    </w:rPr>
  </w:style>
  <w:style w:type="paragraph" w:styleId="11">
    <w:name w:val="Обычный + 11 пт"/>
    <w:basedOn w:val="Normal"/>
    <w:qFormat/>
    <w:pPr>
      <w:jc w:val="both"/>
    </w:pPr>
    <w:rPr>
      <w:sz w:val="22"/>
      <w:szCs w:val="22"/>
    </w:rPr>
  </w:style>
  <w:style w:type="paragraph" w:styleId="Style13">
    <w:name w:val="Текст"/>
    <w:basedOn w:val="Normal"/>
    <w:qFormat/>
    <w:pPr/>
    <w:rPr>
      <w:rFonts w:ascii="Courier New" w:hAnsi="Courier New" w:cs="Courier New"/>
    </w:rPr>
  </w:style>
  <w:style w:type="paragraph" w:styleId="Style14">
    <w:name w:val="Текст примечания"/>
    <w:basedOn w:val="Normal"/>
    <w:qFormat/>
    <w:pPr/>
    <w:rPr/>
  </w:style>
  <w:style w:type="paragraph" w:styleId="Style15">
    <w:name w:val="Тема примечания"/>
    <w:basedOn w:val="Style14"/>
    <w:next w:val="Style14"/>
    <w:qFormat/>
    <w:pPr/>
    <w:rPr>
      <w:b/>
      <w:bCs/>
    </w:rPr>
  </w:style>
  <w:style w:type="paragraph" w:styleId="ConsPlusNormal">
    <w:name w:val="ConsPlusNormal"/>
    <w:qFormat/>
    <w:pPr>
      <w:widowControl w:val="false"/>
      <w:autoSpaceDE w:val="false"/>
      <w:bidi w:val="0"/>
      <w:ind w:firstLine="720" w:start="0" w:end="0"/>
    </w:pPr>
    <w:rPr>
      <w:rFonts w:ascii="Arial" w:hAnsi="Arial" w:eastAsia="Times New Roman" w:cs="Arial"/>
      <w:color w:val="auto"/>
      <w:sz w:val="20"/>
      <w:szCs w:val="20"/>
      <w:lang w:bidi="ar-SA" w:val="ru-RU" w:eastAsia="zh-CN"/>
    </w:rPr>
  </w:style>
  <w:style w:type="paragraph" w:styleId="Normal11">
    <w:name w:val="Normal1"/>
    <w:qFormat/>
    <w:pPr>
      <w:widowControl w:val="false"/>
      <w:bidi w:val="0"/>
      <w:spacing w:lineRule="auto" w:line="259"/>
      <w:ind w:firstLine="500" w:start="0" w:end="0"/>
    </w:pPr>
    <w:rPr>
      <w:rFonts w:ascii="Arial" w:hAnsi="Arial" w:eastAsia="Times New Roman" w:cs="Arial"/>
      <w:color w:val="auto"/>
      <w:sz w:val="22"/>
      <w:szCs w:val="20"/>
      <w:lang w:bidi="ar-SA" w:val="ru-RU" w:eastAsia="zh-CN"/>
    </w:rPr>
  </w:style>
  <w:style w:type="paragraph" w:styleId="BodyText2">
    <w:name w:val="Body Text 2"/>
    <w:basedOn w:val="Normal"/>
    <w:qFormat/>
    <w:pPr>
      <w:spacing w:before="120" w:after="0"/>
      <w:jc w:val="both"/>
    </w:pPr>
    <w:rPr>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2013-06-04T09:42:00Z</dcterms:created>
  <dc:creator>dogovor-urist.ru</dc:creator>
  <dc:description/>
  <dc:language>ru-RU</dc:language>
  <cp:lastModifiedBy>July</cp:lastModifiedBy>
  <cp:lastPrinted>2011-08-31T13:18:00Z</cp:lastPrinted>
  <dcterms:modified xsi:type="dcterms:W3CDTF">2013-06-04T09:42:00Z</dcterms:modified>
  <cp:revision>2</cp:revision>
  <dc:subject/>
  <dc:title>ДОГОВОР ПОСТАВКИ  №___</dc:title>
</cp:coreProperties>
</file>