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</w:rPr>
      </w:pPr>
      <w:r>
        <w:rPr>
          <w:b/>
        </w:rPr>
        <w:t>Контракт № ______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/>
      </w:pPr>
      <w:r>
        <w:rPr/>
        <w:t>г. ___________________                                                              «__» ____________ 20__г.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__________________, г. ___________ (Россия), именуемое в дальнейшем «Продавец», в лице _______________________________, действующего на основании _______________, с одной стороны и __________________________________, именуемое в дальнейшем «Покупатель» в лице _____________________________________________, действующего на основании _________________________, с другой стороны, заключили настоящий Контракт о нижеследующем: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 xml:space="preserve">1. Предмет контракта </w:t>
      </w:r>
    </w:p>
    <w:p>
      <w:pPr>
        <w:pStyle w:val="Normal"/>
        <w:jc w:val="both"/>
        <w:rPr/>
      </w:pPr>
      <w:r>
        <w:rPr/>
        <w:t>Продавец обязуется продать уголь каменный энергетический марки ___________________, именуемый в дальнейшем «Товар», согласно спецификации, указанной в Дополнительном соглашении к настоящему Контракту, на условиях FCA, а Покупатель обязуется принять Товар и своевременно оплатить стоимость поставленного Товара.</w:t>
      </w:r>
    </w:p>
    <w:p>
      <w:pPr>
        <w:pStyle w:val="Normal"/>
        <w:jc w:val="both"/>
        <w:rPr/>
      </w:pPr>
      <w:r>
        <w:rPr/>
        <w:t>Страна назначения - ________________.</w:t>
      </w:r>
    </w:p>
    <w:p>
      <w:pPr>
        <w:pStyle w:val="Normal"/>
        <w:jc w:val="both"/>
        <w:rPr/>
      </w:pPr>
      <w:r>
        <w:rPr/>
        <w:t xml:space="preserve">Производитель - </w:t>
      </w:r>
      <w:r>
        <w:rPr>
          <w:lang w:val="en-US"/>
        </w:rPr>
        <w:t>_________________________________________</w:t>
      </w:r>
      <w:r>
        <w:rPr/>
        <w:t xml:space="preserve">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 xml:space="preserve">2. Количество и качество Товара </w:t>
      </w:r>
    </w:p>
    <w:p>
      <w:pPr>
        <w:pStyle w:val="Normal"/>
        <w:jc w:val="both"/>
        <w:rPr/>
      </w:pPr>
      <w:r>
        <w:rPr/>
        <w:t>Ежемесячно поставляемое Продавцом количество Товара указывается в Дополнительном соглашении к настоящему Контракту и письменно согласовывается сторонами до 12-го числа месяца, предшествующего месяцу отгрузки.</w:t>
      </w:r>
    </w:p>
    <w:p>
      <w:pPr>
        <w:pStyle w:val="Normal"/>
        <w:jc w:val="both"/>
        <w:rPr/>
      </w:pPr>
      <w:r>
        <w:rPr/>
        <w:t>Качество Товара должно соответствовать характеристикам, указанным в Дополнительном соглашении к настоящему Контракту и подтверждается Сертификатом качества, выданным независимой международной экспертной организацией SGS, INCOLAB.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 xml:space="preserve">3. Цена товара </w:t>
      </w:r>
    </w:p>
    <w:p>
      <w:pPr>
        <w:pStyle w:val="Normal"/>
        <w:jc w:val="both"/>
        <w:rPr/>
      </w:pPr>
      <w:r>
        <w:rPr/>
        <w:t xml:space="preserve">Цена на поставляемый Товар согласовывается Сторонами и указывается в Дополнительном соглашении к настоящему Контракту.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 xml:space="preserve">4. Условия поставки и передачи Товара </w:t>
      </w:r>
    </w:p>
    <w:p>
      <w:pPr>
        <w:pStyle w:val="Normal"/>
        <w:jc w:val="both"/>
        <w:rPr/>
      </w:pPr>
      <w:r>
        <w:rPr/>
        <w:t xml:space="preserve">Продавец поставляет Товар в адрес Покупателя на условиях FCA </w:t>
      </w:r>
      <w:r>
        <w:rPr>
          <w:i/>
        </w:rPr>
        <w:t>станция отправления</w:t>
      </w:r>
      <w:r>
        <w:rPr/>
        <w:t xml:space="preserve"> в соответствии с условиями Инкотермс 2010, если иное не оговорено в настоящем Контракте.</w:t>
      </w:r>
    </w:p>
    <w:p>
      <w:pPr>
        <w:pStyle w:val="Normal"/>
        <w:jc w:val="both"/>
        <w:rPr/>
      </w:pPr>
      <w:r>
        <w:rPr/>
        <w:t>Товар поставляется ежемесячно в срок, согласованный в Дополнительном соглашении к настоящему Контракту.</w:t>
      </w:r>
    </w:p>
    <w:p>
      <w:pPr>
        <w:pStyle w:val="Normal"/>
        <w:jc w:val="both"/>
        <w:rPr/>
      </w:pPr>
      <w:r>
        <w:rPr/>
        <w:t>Покупатель не позднее 12-го числа месяца, предшествующего месяцу отгрузки Товара, обязан предоставить Продавцу предварительную заявку на поставку Товара в следующем месяце, с указанием количества, марки и грузополучателя Товара.</w:t>
      </w:r>
    </w:p>
    <w:p>
      <w:pPr>
        <w:pStyle w:val="Normal"/>
        <w:jc w:val="both"/>
        <w:rPr/>
      </w:pPr>
      <w:r>
        <w:rPr/>
        <w:t>Покупатель в срок не позднее 27-го числа месяца, предшествующего месяцу отгрузки Товара, передает Продавцу транспортную инструкцию экспедитора по заполнению железнодорожных накладных.</w:t>
      </w:r>
    </w:p>
    <w:p>
      <w:pPr>
        <w:pStyle w:val="Normal"/>
        <w:jc w:val="both"/>
        <w:rPr/>
      </w:pPr>
      <w:r>
        <w:rPr/>
        <w:t>Датой поставки товара по настоящему Контракту считается дата приемки Товара перевозчиком. Право собственности на товар переходит от Продавца к Покупателю в момент приемки Товара перевозчиком.</w:t>
      </w:r>
    </w:p>
    <w:p>
      <w:pPr>
        <w:pStyle w:val="Normal"/>
        <w:jc w:val="both"/>
        <w:rPr/>
      </w:pPr>
      <w:r>
        <w:rPr/>
        <w:t>Продавец обязуется в течение 2-х дней с даты отгрузки Товара отправить Покупателю по факсу или e-mail сообщение об отгрузке Товара, в котором должно быть указано: дата отгрузки (дата штампа станции отправления в ж.д. накладной), номер вагона, номера ж.д. накладных, вес товара в каждом вагоне.</w:t>
      </w:r>
    </w:p>
    <w:p>
      <w:pPr>
        <w:pStyle w:val="Normal"/>
        <w:jc w:val="both"/>
        <w:rPr/>
      </w:pPr>
      <w:r>
        <w:rPr/>
        <w:t>Не позднее 2-х рабочих дней со дня завершения отгрузки партии товара Продавец направляет Покупателю следующие документы:</w:t>
      </w:r>
    </w:p>
    <w:p>
      <w:pPr>
        <w:pStyle w:val="Normal"/>
        <w:jc w:val="both"/>
        <w:rPr/>
      </w:pPr>
      <w:r>
        <w:rPr/>
        <w:t>- счет-фактуру на стоимость партии товара - 3 экз.;</w:t>
      </w:r>
    </w:p>
    <w:p>
      <w:pPr>
        <w:pStyle w:val="Normal"/>
        <w:jc w:val="both"/>
        <w:rPr/>
      </w:pPr>
      <w:r>
        <w:rPr/>
        <w:t>- сертификат происхождения, сертификат соответствия в системе ГОСТ Р - 1 экз.;</w:t>
      </w:r>
    </w:p>
    <w:p>
      <w:pPr>
        <w:pStyle w:val="Normal"/>
        <w:jc w:val="both"/>
        <w:rPr/>
      </w:pPr>
      <w:r>
        <w:rPr/>
        <w:t xml:space="preserve">- сертификат качества - 1 экз.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 xml:space="preserve">5. Приемка товара по количеству и качеству </w:t>
      </w:r>
    </w:p>
    <w:p>
      <w:pPr>
        <w:pStyle w:val="Normal"/>
        <w:jc w:val="both"/>
        <w:rPr/>
      </w:pPr>
      <w:r>
        <w:rPr/>
        <w:t>Приемка Товара по качеству и количеству производится в порядке, предусмотренном инструкцией Госарбитража СССР «О порядке приемки продукции ПТН» по количеству «П-6» и качеству «П-7» с изменениями и дополнениями к ним, которые действуют в пределах, не противоречащих ГК РФ, а также условиями, предусмотренными настоящим Контрактом:</w:t>
      </w:r>
    </w:p>
    <w:p>
      <w:pPr>
        <w:pStyle w:val="Normal"/>
        <w:jc w:val="both"/>
        <w:rPr/>
      </w:pPr>
      <w:r>
        <w:rPr/>
        <w:t>- по количеству - согласно количеству, указанному в железнодорожных накладных и/или ГТД.</w:t>
      </w:r>
    </w:p>
    <w:p>
      <w:pPr>
        <w:pStyle w:val="Normal"/>
        <w:jc w:val="both"/>
        <w:rPr/>
      </w:pPr>
      <w:r>
        <w:rPr/>
        <w:t>- по качеству - согласно сертификату качества, выданному независимой международной экспертной организацией.</w:t>
      </w:r>
    </w:p>
    <w:p>
      <w:pPr>
        <w:pStyle w:val="Normal"/>
        <w:jc w:val="both"/>
        <w:rPr/>
      </w:pPr>
      <w:r>
        <w:rPr/>
        <w:t>Покупатель имеет право осуществить выборочно перевес вагонов (партия Товара) на станции отправления.</w:t>
      </w:r>
    </w:p>
    <w:p>
      <w:pPr>
        <w:pStyle w:val="Normal"/>
        <w:jc w:val="both"/>
        <w:rPr/>
      </w:pPr>
      <w:r>
        <w:rPr/>
        <w:t>Приемка Товара с участием представителей железной дороги осуществляется в случаях и в порядке, предусмотренными правилами, действующими на железнодорожном транспорте.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b/>
        </w:rPr>
      </w:pPr>
      <w:r>
        <w:rPr>
          <w:b/>
        </w:rPr>
        <w:t>6. Условия платежа</w:t>
      </w:r>
    </w:p>
    <w:p>
      <w:pPr>
        <w:pStyle w:val="Normal"/>
        <w:jc w:val="both"/>
        <w:rPr/>
      </w:pPr>
      <w:r>
        <w:rPr/>
        <w:t>Оплата за Товар производится Покупателем в порядке и сроки, определенные в Дополнительном соглашении к настоящему Контракту.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 xml:space="preserve">7. Ответственность Сторон </w:t>
      </w:r>
    </w:p>
    <w:p>
      <w:pPr>
        <w:pStyle w:val="Normal"/>
        <w:jc w:val="both"/>
        <w:rPr/>
      </w:pPr>
      <w:r>
        <w:rPr/>
        <w:t>7.1. Рекламации относительно количества и/или качества поставленного по настоящему Контракту Товара предъявляются Сторонами в течение 30 календарных дней с даты отгрузки со станции отправления.</w:t>
      </w:r>
    </w:p>
    <w:p>
      <w:pPr>
        <w:pStyle w:val="Normal"/>
        <w:jc w:val="both"/>
        <w:rPr/>
      </w:pPr>
      <w:r>
        <w:rPr/>
        <w:t>7.2. Претензия по качеству поставленного Товара предъявляется Продавцу в случае несоответствия качества, указанного в Дополнительном соглашении к настоящему Контракту качеству, указанному в отчетах независимой международной экспертной организации.</w:t>
      </w:r>
    </w:p>
    <w:p>
      <w:pPr>
        <w:pStyle w:val="Normal"/>
        <w:jc w:val="both"/>
        <w:rPr/>
      </w:pPr>
      <w:r>
        <w:rPr/>
        <w:t>К претензии по качеству прилагаются следующие документы:</w:t>
      </w:r>
    </w:p>
    <w:p>
      <w:pPr>
        <w:pStyle w:val="Normal"/>
        <w:jc w:val="both"/>
        <w:rPr/>
      </w:pPr>
      <w:r>
        <w:rPr/>
        <w:t>- акт об отборе проб из ж.д. вагонов, выданный независимой экспертной организацией;</w:t>
      </w:r>
    </w:p>
    <w:p>
      <w:pPr>
        <w:pStyle w:val="Normal"/>
        <w:jc w:val="both"/>
        <w:rPr/>
      </w:pPr>
      <w:r>
        <w:rPr/>
        <w:t>- сертификат анализа для партии Товара, выданный независимой экспертной организацией с указанием даты, места, описания метода, использованного для отбора проб и производства анализов.</w:t>
      </w:r>
    </w:p>
    <w:p>
      <w:pPr>
        <w:pStyle w:val="Normal"/>
        <w:jc w:val="both"/>
        <w:rPr/>
      </w:pPr>
      <w:r>
        <w:rPr/>
        <w:t>Сторона, получившая рекламацию, обязана рассмотреть и ответить по существу предъявленной рекламации в течении 30 календарных дней с даты ее получения.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 xml:space="preserve">8. Штрафные санкции </w:t>
      </w:r>
    </w:p>
    <w:p>
      <w:pPr>
        <w:pStyle w:val="Normal"/>
        <w:jc w:val="both"/>
        <w:rPr/>
      </w:pPr>
      <w:r>
        <w:rPr/>
        <w:t>8.1. В случае несоответствия качества поставляемого Товара характеристикам, указанным в Дополнительном соглашении к настоящему Контракту, на Продавца возлагаются следующие штрафные санкции:</w:t>
      </w:r>
    </w:p>
    <w:p>
      <w:pPr>
        <w:pStyle w:val="Normal"/>
        <w:jc w:val="both"/>
        <w:rPr/>
      </w:pPr>
      <w:r>
        <w:rPr/>
        <w:t>8.2. По углю марки СС:</w:t>
      </w:r>
    </w:p>
    <w:p>
      <w:pPr>
        <w:pStyle w:val="Normal"/>
        <w:jc w:val="both"/>
        <w:rPr/>
      </w:pPr>
      <w:r>
        <w:rPr/>
        <w:t>8.2.1. По сере (на сухую базу):</w:t>
      </w:r>
    </w:p>
    <w:p>
      <w:pPr>
        <w:pStyle w:val="Normal"/>
        <w:jc w:val="both"/>
        <w:rPr/>
      </w:pPr>
      <w:r>
        <w:rPr/>
        <w:t>В случае, если общее содержание серы в партии товара по данным «экспертной лаборатории» превышает 0,9%, Покупатель имеет право отказаться от товара.</w:t>
      </w:r>
    </w:p>
    <w:p>
      <w:pPr>
        <w:pStyle w:val="Normal"/>
        <w:jc w:val="both"/>
        <w:rPr/>
      </w:pPr>
      <w:r>
        <w:rPr/>
        <w:t>8.2.2. По летучему веществу (на сухую базу):</w:t>
      </w:r>
    </w:p>
    <w:p>
      <w:pPr>
        <w:pStyle w:val="Normal"/>
        <w:jc w:val="both"/>
        <w:rPr/>
      </w:pPr>
      <w:r>
        <w:rPr/>
        <w:t>В случае, если летучее вещество партии товара по данным «ССI Europe Ltd», ниже 18%, Покупатель уменьшает общую сумму инвойса на сумму, полученную при расчете по следующей формуле:</w:t>
      </w:r>
    </w:p>
    <w:p>
      <w:pPr>
        <w:pStyle w:val="Normal"/>
        <w:jc w:val="both"/>
        <w:rPr/>
      </w:pPr>
      <w:r>
        <w:rPr/>
        <w:t>по 0,5% от цены FCA за каждый 1,0% ниже 18% летучих веществ пропорционально.</w:t>
      </w:r>
    </w:p>
    <w:p>
      <w:pPr>
        <w:pStyle w:val="Normal"/>
        <w:jc w:val="both"/>
        <w:rPr/>
      </w:pPr>
      <w:r>
        <w:rPr/>
        <w:t>8.2.3. По золе (на сухую базу):</w:t>
      </w:r>
    </w:p>
    <w:p>
      <w:pPr>
        <w:pStyle w:val="Normal"/>
        <w:jc w:val="both"/>
        <w:rPr/>
      </w:pPr>
      <w:r>
        <w:rPr/>
        <w:t>В случае, если содержание золы в партии товара по данным «ССI Europe Ltd», превышает 18%, Покупатель уменьшает общую сумму инвойса на сумму, полученную при расчете по следующей формуле:</w:t>
      </w:r>
    </w:p>
    <w:p>
      <w:pPr>
        <w:pStyle w:val="Normal"/>
        <w:jc w:val="both"/>
        <w:rPr/>
      </w:pPr>
      <w:r>
        <w:rPr/>
        <w:t>по 0,5% от цены FCA за каждый 1,0% выше 20% золы пропорционально.</w:t>
      </w:r>
    </w:p>
    <w:p>
      <w:pPr>
        <w:pStyle w:val="Normal"/>
        <w:jc w:val="both"/>
        <w:rPr/>
      </w:pPr>
      <w:r>
        <w:rPr/>
        <w:t>8.2.4. По постороннему веществу:</w:t>
      </w:r>
    </w:p>
    <w:p>
      <w:pPr>
        <w:pStyle w:val="Normal"/>
        <w:jc w:val="both"/>
        <w:rPr/>
      </w:pPr>
      <w:r>
        <w:rPr/>
        <w:t>В случае, если содержание породы и прочих посторонних включений по данным «ССI Europe Ltd», превышает 5,0%, Покупатель уменьшает общую сумму инвойса на сумму, полученную при расчете по следующей формуле:</w:t>
      </w:r>
    </w:p>
    <w:p>
      <w:pPr>
        <w:pStyle w:val="Normal"/>
        <w:jc w:val="both"/>
        <w:rPr/>
      </w:pPr>
      <w:r>
        <w:rPr/>
        <w:t>по 0,3 USD за каждую тонну за каждый 1% выше 5% посторонних веществ пропорционально.</w:t>
      </w:r>
    </w:p>
    <w:p>
      <w:pPr>
        <w:pStyle w:val="Normal"/>
        <w:jc w:val="both"/>
        <w:rPr/>
      </w:pPr>
      <w:r>
        <w:rPr/>
        <w:t>Расчет по штрафам осуществляется путем выставления дебит/кредит ноты на определенную партию товара.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b/>
        </w:rPr>
      </w:pPr>
      <w:r>
        <w:rPr>
          <w:b/>
        </w:rPr>
        <w:t>9. Форс-мажор</w:t>
      </w:r>
    </w:p>
    <w:p>
      <w:pPr>
        <w:pStyle w:val="Normal"/>
        <w:jc w:val="both"/>
        <w:rPr/>
      </w:pPr>
      <w:r>
        <w:rPr/>
        <w:t>В случае возникновения обстоятельств непреодолимой силы, препятствующих частичному или полному исполнению Сторонами обязательств по настоящему Контракту, а именно: стихийных бедствий, войн и военных операций любого характера, блокады, запретов экспорта или импорта, забастовок, запретов железных дорог, актов государственных органов, а также любых иных обстоятельств, находящихся вне воли и контроля Сторон, которые не могли быть предвидены и предотвращены Сторонами при заключении Контракта, срок исполнения обязательств продлевается на период времени, в течение которого действуют такие обстоятельства.</w:t>
      </w:r>
    </w:p>
    <w:p>
      <w:pPr>
        <w:pStyle w:val="Normal"/>
        <w:jc w:val="both"/>
        <w:rPr/>
      </w:pPr>
      <w:r>
        <w:rPr/>
        <w:t>В случае, если обстоятельства форс-мажора действуют более 3 (Трех) месяцев, любая Сторона вправе отказаться от дальнейшего исполнения своих обязательств по Контракту. В этом случае ни одна из Сторон не будет вправе предъявить требование о возмещении реального ущерба.</w:t>
      </w:r>
    </w:p>
    <w:p>
      <w:pPr>
        <w:pStyle w:val="Normal"/>
        <w:jc w:val="both"/>
        <w:rPr/>
      </w:pPr>
      <w:r>
        <w:rPr/>
        <w:t>Сторона, для которой возникли обстоятельства форс-мажора, должна незамедлительно уведомить другую Сторону о начале и прекращении действия таких обстоятельств.</w:t>
      </w:r>
    </w:p>
    <w:p>
      <w:pPr>
        <w:pStyle w:val="Normal"/>
        <w:jc w:val="both"/>
        <w:rPr/>
      </w:pPr>
      <w:r>
        <w:rPr/>
        <w:t>Справки, выданные Торгово-промышленной палатой, соответственно, Продавца либо Покупателя, являются достаточным доказательством форс-мажорных обстоятельств и их продолжительности.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>10.  Арбитраж</w:t>
      </w:r>
    </w:p>
    <w:p>
      <w:pPr>
        <w:pStyle w:val="Normal"/>
        <w:jc w:val="both"/>
        <w:rPr/>
      </w:pPr>
      <w:r>
        <w:rPr/>
        <w:t>Любые споры, возникающие в связи с толкованием и/или исполнением данного Контракта, должны быть улажены Сторонами путем переговоров. При недостижении согласия споры между сторонами подлежат рассмотрению в Арбитражном суде _______________________.</w:t>
      </w:r>
    </w:p>
    <w:p>
      <w:pPr>
        <w:pStyle w:val="Normal"/>
        <w:jc w:val="both"/>
        <w:rPr/>
      </w:pPr>
      <w:r>
        <w:rPr/>
        <w:t>Во всем остальном, что не предусмотрено настоящим Контрактом, применяется действующее законодательство РФ.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 xml:space="preserve">11.  Срок действия Контракта </w:t>
      </w:r>
    </w:p>
    <w:p>
      <w:pPr>
        <w:pStyle w:val="Normal"/>
        <w:jc w:val="both"/>
        <w:rPr/>
      </w:pPr>
      <w:r>
        <w:rPr/>
        <w:t>Срок действия Контракта:</w:t>
      </w:r>
    </w:p>
    <w:p>
      <w:pPr>
        <w:pStyle w:val="Normal"/>
        <w:jc w:val="both"/>
        <w:rPr/>
      </w:pPr>
      <w:r>
        <w:rPr/>
        <w:t>- по отгрузке товара Покупателю с момента подписания до «___» ________ 20__г.</w:t>
      </w:r>
    </w:p>
    <w:p>
      <w:pPr>
        <w:pStyle w:val="Normal"/>
        <w:jc w:val="both"/>
        <w:rPr/>
      </w:pPr>
      <w:r>
        <w:rPr/>
        <w:t xml:space="preserve">- по остальным обязательствам, предусмотренным настоящим Контрактом, в том числе по оплате штрафных санкции, с момента подписания до полного исполнения Сторонами своих обязательств.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 xml:space="preserve">12. Дополнительные условия </w:t>
      </w:r>
    </w:p>
    <w:p>
      <w:pPr>
        <w:pStyle w:val="Normal"/>
        <w:jc w:val="both"/>
        <w:rPr/>
      </w:pPr>
      <w:r>
        <w:rPr/>
        <w:t>12.1. Настоящий Контракт составлен на русском языке в 3 (Трех) экземплярах, имеющих равную юридическую силу, - один экземпляр для Продавца, два экземпляра для Покупателя.</w:t>
      </w:r>
    </w:p>
    <w:p>
      <w:pPr>
        <w:pStyle w:val="Normal"/>
        <w:jc w:val="both"/>
        <w:rPr/>
      </w:pPr>
      <w:r>
        <w:rPr/>
        <w:t>12.2. Контракт может быть расторгнут в одностороннем порядке при невыполнении какой-либо из сторон обязательств, вытекающих из настоящего Контракта, с письменным уведомлением другой стороны за 20 дней с возмещением всех убытков.</w:t>
      </w:r>
    </w:p>
    <w:p>
      <w:pPr>
        <w:pStyle w:val="Normal"/>
        <w:jc w:val="both"/>
        <w:rPr/>
      </w:pPr>
      <w:r>
        <w:rPr/>
        <w:t>12.3. Все изменения и дополнения к настоящему Контракту действительны, если они составлены в письменной форме и подписаны уполномоченными представителями обеих Сторон.</w:t>
      </w:r>
    </w:p>
    <w:p>
      <w:pPr>
        <w:pStyle w:val="Normal"/>
        <w:jc w:val="both"/>
        <w:rPr/>
      </w:pPr>
      <w:r>
        <w:rPr/>
        <w:t>12.4. Ни одна из Сторон не вправе передавать свои права и обязательства по настоящему Контракту третьим лицам без письменного согласия на то другой Стороны.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  <w:t>13. Юридические адреса и реквизиты сторон:</w:t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/>
      </w:pPr>
      <w:r>
        <w:rPr/>
        <w:t>ПРОДАВЕЦ:</w:t>
      </w:r>
    </w:p>
    <w:p>
      <w:pPr>
        <w:pStyle w:val="Normal"/>
        <w:jc w:val="both"/>
        <w:rPr/>
      </w:pPr>
      <w:r>
        <w:rPr/>
        <w:t xml:space="preserve"> </w:t>
      </w:r>
      <w:r>
        <w:rPr/>
        <w:tab/>
      </w:r>
    </w:p>
    <w:p>
      <w:pPr>
        <w:pStyle w:val="Normal"/>
        <w:jc w:val="both"/>
        <w:rPr/>
      </w:pPr>
      <w:r>
        <w:rPr/>
        <w:t>ПОКУПАТЕЛЬ: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lineRule="auto" w:line="269" w:before="200" w:after="0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lineRule="auto" w:line="269" w:before="200" w:after="0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lineRule="auto" w:line="269"/>
      <w:outlineLvl w:val="3"/>
    </w:pPr>
    <w:rPr>
      <w:b/>
      <w:bCs/>
      <w:spacing w:val="5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lineRule="auto" w:line="269"/>
      <w:outlineLvl w:val="4"/>
    </w:pPr>
    <w:rPr>
      <w:i/>
      <w:iCs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hd w:fill="FFFFFF" w:val="clear"/>
      <w:spacing w:lineRule="auto" w:line="269"/>
      <w:outlineLvl w:val="5"/>
    </w:pPr>
    <w:rPr>
      <w:b/>
      <w:bCs/>
      <w:color w:val="595959"/>
      <w:spacing w:val="5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  <w:bCs/>
      <w:i/>
      <w:iCs/>
      <w:color w:val="5A5A5A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  <w:bCs/>
      <w:color w:val="7F7F7F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lineRule="auto" w:line="269"/>
      <w:outlineLvl w:val="8"/>
    </w:pPr>
    <w:rPr>
      <w:b/>
      <w:bCs/>
      <w:i/>
      <w:iCs/>
      <w:color w:val="7F7F7F"/>
      <w:sz w:val="18"/>
      <w:szCs w:val="18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basedOn w:val="Style5"/>
    <w:qFormat/>
    <w:rPr>
      <w:smallCaps/>
      <w:spacing w:val="5"/>
      <w:sz w:val="36"/>
      <w:szCs w:val="36"/>
    </w:rPr>
  </w:style>
  <w:style w:type="character" w:styleId="2">
    <w:name w:val="Заголовок 2 Знак"/>
    <w:basedOn w:val="Style5"/>
    <w:qFormat/>
    <w:rPr>
      <w:smallCaps/>
      <w:sz w:val="28"/>
      <w:szCs w:val="28"/>
    </w:rPr>
  </w:style>
  <w:style w:type="character" w:styleId="3">
    <w:name w:val="Заголовок 3 Знак"/>
    <w:basedOn w:val="Style5"/>
    <w:qFormat/>
    <w:rPr>
      <w:i/>
      <w:iCs/>
      <w:smallCaps/>
      <w:spacing w:val="5"/>
      <w:sz w:val="26"/>
      <w:szCs w:val="26"/>
    </w:rPr>
  </w:style>
  <w:style w:type="character" w:styleId="4">
    <w:name w:val="Заголовок 4 Знак"/>
    <w:basedOn w:val="Style5"/>
    <w:qFormat/>
    <w:rPr>
      <w:b/>
      <w:bCs/>
      <w:spacing w:val="5"/>
      <w:sz w:val="24"/>
      <w:szCs w:val="24"/>
    </w:rPr>
  </w:style>
  <w:style w:type="character" w:styleId="5">
    <w:name w:val="Заголовок 5 Знак"/>
    <w:basedOn w:val="Style5"/>
    <w:qFormat/>
    <w:rPr>
      <w:i/>
      <w:iCs/>
      <w:sz w:val="24"/>
      <w:szCs w:val="24"/>
    </w:rPr>
  </w:style>
  <w:style w:type="character" w:styleId="6">
    <w:name w:val="Заголовок 6 Знак"/>
    <w:basedOn w:val="Style5"/>
    <w:qFormat/>
    <w:rPr>
      <w:b/>
      <w:bCs/>
      <w:color w:val="595959"/>
      <w:spacing w:val="5"/>
      <w:shd w:fill="FFFFFF" w:val="clear"/>
    </w:rPr>
  </w:style>
  <w:style w:type="character" w:styleId="7">
    <w:name w:val="Заголовок 7 Знак"/>
    <w:basedOn w:val="Style5"/>
    <w:qFormat/>
    <w:rPr>
      <w:b/>
      <w:bCs/>
      <w:i/>
      <w:iCs/>
      <w:color w:val="5A5A5A"/>
      <w:sz w:val="20"/>
      <w:szCs w:val="20"/>
    </w:rPr>
  </w:style>
  <w:style w:type="character" w:styleId="8">
    <w:name w:val="Заголовок 8 Знак"/>
    <w:basedOn w:val="Style5"/>
    <w:qFormat/>
    <w:rPr>
      <w:b/>
      <w:bCs/>
      <w:color w:val="7F7F7F"/>
      <w:sz w:val="20"/>
      <w:szCs w:val="20"/>
    </w:rPr>
  </w:style>
  <w:style w:type="character" w:styleId="9">
    <w:name w:val="Заголовок 9 Знак"/>
    <w:basedOn w:val="Style5"/>
    <w:qFormat/>
    <w:rPr>
      <w:b/>
      <w:bCs/>
      <w:i/>
      <w:iCs/>
      <w:color w:val="7F7F7F"/>
      <w:sz w:val="18"/>
      <w:szCs w:val="18"/>
    </w:rPr>
  </w:style>
  <w:style w:type="character" w:styleId="Style6">
    <w:name w:val="Название Знак"/>
    <w:basedOn w:val="Style5"/>
    <w:qFormat/>
    <w:rPr>
      <w:smallCaps/>
      <w:sz w:val="52"/>
      <w:szCs w:val="52"/>
    </w:rPr>
  </w:style>
  <w:style w:type="character" w:styleId="Style7">
    <w:name w:val="Подзаголовок Знак"/>
    <w:basedOn w:val="Style5"/>
    <w:qFormat/>
    <w:rPr>
      <w:i/>
      <w:iCs/>
      <w:smallCaps/>
      <w:spacing w:val="10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b/>
      <w:bCs/>
      <w:i/>
      <w:iCs/>
      <w:spacing w:val="10"/>
    </w:rPr>
  </w:style>
  <w:style w:type="character" w:styleId="21">
    <w:name w:val="Цитата 2 Знак"/>
    <w:basedOn w:val="Style5"/>
    <w:qFormat/>
    <w:rPr>
      <w:i/>
      <w:iCs/>
    </w:rPr>
  </w:style>
  <w:style w:type="character" w:styleId="Style8">
    <w:name w:val="Выделенная цитата Знак"/>
    <w:basedOn w:val="Style5"/>
    <w:qFormat/>
    <w:rPr>
      <w:i/>
      <w:iCs/>
    </w:rPr>
  </w:style>
  <w:style w:type="character" w:styleId="Style9">
    <w:name w:val="Слабое выделение"/>
    <w:qFormat/>
    <w:rPr>
      <w:i/>
      <w:iCs/>
    </w:rPr>
  </w:style>
  <w:style w:type="character" w:styleId="Style10">
    <w:name w:val="Сильное выделение"/>
    <w:qFormat/>
    <w:rPr>
      <w:b/>
      <w:bCs/>
      <w:i/>
      <w:iCs/>
    </w:rPr>
  </w:style>
  <w:style w:type="character" w:styleId="Style11">
    <w:name w:val="Слабая ссылка"/>
    <w:basedOn w:val="Style5"/>
    <w:qFormat/>
    <w:rPr>
      <w:smallCaps/>
    </w:rPr>
  </w:style>
  <w:style w:type="character" w:styleId="Style12">
    <w:name w:val="Сильная ссылка"/>
    <w:qFormat/>
    <w:rPr>
      <w:b/>
      <w:bCs/>
      <w:smallCaps/>
    </w:rPr>
  </w:style>
  <w:style w:type="character" w:styleId="Style13">
    <w:name w:val="Название книги"/>
    <w:basedOn w:val="Style5"/>
    <w:qFormat/>
    <w:rPr>
      <w:i/>
      <w:iCs/>
      <w:smallCaps/>
      <w:spacing w:val="5"/>
    </w:rPr>
  </w:style>
  <w:style w:type="paragraph" w:styleId="Heading">
    <w:name w:val="Heading"/>
    <w:basedOn w:val="Normal"/>
    <w:next w:val="Normal"/>
    <w:qFormat/>
    <w:pPr>
      <w:spacing w:before="0" w:after="300"/>
      <w:contextualSpacing/>
    </w:pPr>
    <w:rPr>
      <w:smallCaps/>
      <w:sz w:val="52"/>
      <w:szCs w:val="5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ubtitle">
    <w:name w:val="Subtitle"/>
    <w:basedOn w:val="Normal"/>
    <w:next w:val="Normal"/>
    <w:qFormat/>
    <w:pPr/>
    <w:rPr>
      <w:i/>
      <w:iCs/>
      <w:smallCaps/>
      <w:spacing w:val="10"/>
      <w:sz w:val="28"/>
      <w:szCs w:val="28"/>
    </w:rPr>
  </w:style>
  <w:style w:type="paragraph" w:styleId="Style14">
    <w:name w:val="Без интервала"/>
    <w:basedOn w:val="Normal"/>
    <w:qFormat/>
    <w:pPr/>
    <w:rPr/>
  </w:style>
  <w:style w:type="paragraph" w:styleId="Style15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i/>
      <w:iCs/>
    </w:rPr>
  </w:style>
  <w:style w:type="paragraph" w:styleId="Style16">
    <w:name w:val="Выделенная цитата"/>
    <w:basedOn w:val="Normal"/>
    <w:next w:val="Normal"/>
    <w:qFormat/>
    <w:pPr>
      <w:pBdr>
        <w:top w:val="single" w:sz="4" w:space="10" w:color="000000"/>
        <w:bottom w:val="single" w:sz="4" w:space="10" w:color="000000"/>
      </w:pBdr>
      <w:spacing w:lineRule="auto" w:line="300" w:before="240" w:after="240"/>
      <w:ind w:hanging="0" w:start="1152" w:end="1152"/>
      <w:jc w:val="both"/>
    </w:pPr>
    <w:rPr>
      <w:i/>
      <w:iCs/>
    </w:rPr>
  </w:style>
  <w:style w:type="paragraph" w:styleId="Style17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2013-06-04T10:04:00Z</dcterms:created>
  <dc:creator>dogovor-urist.ru</dc:creator>
  <dc:description/>
  <dc:language>ru-RU</dc:language>
  <cp:lastModifiedBy>July</cp:lastModifiedBy>
  <dcterms:modified xsi:type="dcterms:W3CDTF">2013-06-04T10:04:00Z</dcterms:modified>
  <cp:revision>2</cp:revision>
  <dc:subject/>
  <dc:title/>
</cp:coreProperties>
</file>