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72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720"/>
      </w:tblGrid>
      <w:tr>
        <w:trPr>
          <w:trHeight w:val="12591" w:hRule="atLeast"/>
        </w:trPr>
        <w:tc>
          <w:tcPr>
            <w:tcW w:w="9720" w:type="dxa"/>
            <w:tcBorders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ДОГОВОР  №</w:t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транспортно-экспедиционного обслуживания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spacing w:before="120" w:after="120"/>
              <w:jc w:val="center"/>
              <w:rPr/>
            </w:pPr>
            <w:r>
              <w:rPr>
                <w:sz w:val="22"/>
                <w:szCs w:val="22"/>
              </w:rPr>
              <w:t xml:space="preserve">г. ____________  </w:t>
              <w:tab/>
              <w:tab/>
              <w:tab/>
              <w:tab/>
              <w:tab/>
              <w:tab/>
              <w:tab/>
              <w:tab/>
              <w:t xml:space="preserve"> «___» ________ 201__ г.</w:t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____________________________ </w:t>
            </w:r>
            <w:r>
              <w:rPr>
                <w:b/>
                <w:spacing w:val="3"/>
                <w:sz w:val="22"/>
                <w:szCs w:val="22"/>
              </w:rPr>
              <w:t>«______________________»</w:t>
            </w:r>
            <w:r>
              <w:rPr>
                <w:sz w:val="22"/>
                <w:szCs w:val="22"/>
              </w:rPr>
              <w:t xml:space="preserve">, в лице </w:t>
              <w:br/>
              <w:t>__________________________________________, действующего на основании Устава, именуемым в дальнейшем “КЛИЕНТ”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____________________________ </w:t>
            </w:r>
            <w:r>
              <w:rPr>
                <w:b/>
                <w:spacing w:val="3"/>
                <w:sz w:val="22"/>
                <w:szCs w:val="22"/>
              </w:rPr>
              <w:t>«______________________»</w:t>
            </w:r>
            <w:r>
              <w:rPr>
                <w:sz w:val="22"/>
                <w:szCs w:val="22"/>
              </w:rPr>
              <w:t xml:space="preserve"> в лице __________________________________________,  действующего на основании Устава, именуемым в дальнейшем “ЭКСПЕДИТОР”, вместе именуемыми </w:t>
            </w:r>
            <w:r>
              <w:rPr>
                <w:b/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СТОРОНЫ”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20"/>
              </w:numPr>
              <w:tabs>
                <w:tab w:val="clear" w:pos="709"/>
              </w:tabs>
              <w:ind w:firstLine="498" w:start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ПРЕДМЕТ ДОГОВОРА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1"/>
                <w:numId w:val="1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ЭКСПЕДИТОР принимает на себя обязательства по оказанию КЛИЕНТУ транспортно-экспедиторских услуг, связанных с организацией перевозки грузов различными видами транспорта, а именно: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организация перевозки грузов КЛИЕНТА из согласованных пунктов отгрузки в указанные КЛИЕНТОМ пункты назначения, включая прием грузов КЛИЕНТА и отправку по согласованному с КЛИЕНТОМ маршруту; терминальную обработку и перегрузку грузов, выдачу груза КЛИЕНТУ или уполномоченному им лицу;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документов, необходимых для надлежащего выполнения перевозки;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организация промежуточного складирования грузов КЛИЕНТА, включая доставку и выгрузку груза на склады, хранение грузов на складе; комплектацию товарных партий в соответствии с инструкциями КЛИЕНТА для дальнейшей перевозки в пункт назначения; погрузку и перевозку  скомплектованных товарных партий с использованием надлежащих транспортных средств;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информационные услуги, включая уведомление КЛИЕНТА о продвижении груза на всем пути следования;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платежно-финансовые услуги, включая оплату провозных/складских/портовых платежей и иных возможных дополнительных сборов, возникающих в связи с оказанием транспортно-экспедиторских услуг; </w:t>
            </w:r>
          </w:p>
          <w:p>
            <w:pPr>
              <w:pStyle w:val="Normal"/>
              <w:numPr>
                <w:ilvl w:val="0"/>
                <w:numId w:val="9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иные экспедиторские услуги по запросу КЛИЕНТА;</w:t>
            </w:r>
          </w:p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Конкретный вид транспортно-экспедиторских услуг, оказываемых ЭКСПЕДИТОРОМ КЛИЕНТУ, сроки выполнения, маршрут и иные условия согласовываются СТОРОНАМИ в Экспедиторских Документах, т.е. в  Поручении Экспедитору (именуемое в дальнейшем “Поручение”), а также Экспедиторская Расписка в зависимости от характера предоставляемых услуг. Формы Экспедиторских Документов указаны в Приложениях к настоящему Договору и являются неотъемлемой частью настоящего Договора. Передача Экспедиторских Документов осуществляется посредством факсимильной связи или по электронной почте </w:t>
            </w:r>
            <w:r>
              <w:rPr>
                <w:sz w:val="22"/>
                <w:szCs w:val="22"/>
                <w:lang w:val="en-US"/>
              </w:rPr>
              <w:t>c</w:t>
            </w:r>
            <w:r>
              <w:rPr>
                <w:sz w:val="22"/>
                <w:szCs w:val="22"/>
              </w:rPr>
              <w:t xml:space="preserve"> последующим обменом оригиналами.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8"/>
              </w:numPr>
              <w:tabs>
                <w:tab w:val="clear" w:pos="709"/>
              </w:tabs>
              <w:ind w:firstLine="498" w:start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ПРАВА И ОБЯЗАННОСТИ СТОРОН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5"/>
              </w:numPr>
              <w:tabs>
                <w:tab w:val="clear" w:pos="709"/>
                <w:tab w:val="left" w:pos="781" w:leader="none"/>
              </w:tabs>
              <w:ind w:hanging="781" w:start="781" w:end="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ЭКСПЕДИТОР обязуется: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 основании согласованных Поручений Экспедитору предоставлять в полном объеме соответствующие  транспортно-экспедиторские услуги.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приеме груза у Грузоотправителя выдать КЛИЕНТУ Экспедиторскую Расписку (Передать по электронной почте, в оригинале вместе с комплектом документов на оплату Экспедиционных услуг) и/или </w:t>
            </w:r>
            <w:r>
              <w:rPr>
                <w:sz w:val="22"/>
                <w:szCs w:val="22"/>
                <w:lang w:val="en-US"/>
              </w:rPr>
              <w:t>CMR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Если иное не согласовано сторонами организовывать перевозку грузов по наиболее оптимальному маршруту. 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 запросу КЛИЕНТА информировать его о продвижении его грузов, а также предоставлять другую информацию о ходе перевозки и складирования.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интересах КЛИЕНТА заключать договоры перевозки/складирования/экспедирования грузов от своего имени.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Оплачивать услуги по договорам, заключенным в интересах КЛИЕНТА.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Предоставлять КЛИЕНТУ необходимый комплект документов на грузы, экспедируемые по Поручениям КЛИЕНТА, в объеме и в сроки, согласованные СТОРОНАМИ в Экспедиторской расписке (Приложение №2)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случае изменений в маршруте  перевозки и видах транспорта в максимально короткие сроки уведомлять КЛИЕНТА о таковых изменениях, в том числе письменно по запросу Клиента.</w:t>
            </w:r>
          </w:p>
          <w:p>
            <w:pPr>
              <w:pStyle w:val="Normal"/>
              <w:numPr>
                <w:ilvl w:val="2"/>
                <w:numId w:val="8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случае возникновения необходимости отступления от указаний КЛИЕНТА (уточнения или дополнения указаний КЛИЕНТА), предварительно запросить КЛИЕНТА о его согласии. Если ответ не получен в течение суток,  ЭКСПЕДИТОР действует исходя из интересов КЛИЕНТА с последующим уведомлением КЛИЕНТА о допущенных изменениях.</w:t>
            </w:r>
          </w:p>
          <w:p>
            <w:pPr>
              <w:pStyle w:val="Normal"/>
              <w:numPr>
                <w:ilvl w:val="1"/>
                <w:numId w:val="19"/>
              </w:numPr>
              <w:ind w:hanging="781" w:start="781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ЭКСПЕДИТОР вправе: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709"/>
                <w:tab w:val="left" w:pos="720" w:leader="none"/>
              </w:tabs>
              <w:ind w:hanging="720" w:start="72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Привлекать к исполнению своих обязанностей третьих лиц, что не освобождает ЭКСПЕДИТОРА от ответственности перед КЛИЕНТОМ за исполнение договора.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709"/>
                <w:tab w:val="left" w:pos="720" w:leader="none"/>
              </w:tabs>
              <w:ind w:hanging="720" w:start="72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приступать к исполнению своих обязанностей до представления КЛИЕНТОМ необходимых документов, а также информации о свойствах груза, об условиях его перевозки и иной информации, необходимой для исполнения ЭКСПЕДИТОРОМ своих обязанностей.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709"/>
                <w:tab w:val="left" w:pos="720" w:leader="none"/>
              </w:tabs>
              <w:ind w:hanging="720" w:start="72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Организовывать консолидацию грузов КЛИЕНТА с другими грузами третьих лиц следующих в одном направлении, если это не влечет за собой ухудшение качества груза, дополнительных расходов со стороны КЛИЕНТА и не влияет на увеличение сроков доставки груза КЛИЕНТАтолько после письменного подтверждения Клиента.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709"/>
                <w:tab w:val="left" w:pos="720" w:leader="none"/>
              </w:tabs>
              <w:ind w:hanging="720" w:start="720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Воспользоваться правом удержания в соответствии со ст. 4 настоящего договора,  ГК РФ и иными нормативными актами РФ.</w:t>
            </w:r>
          </w:p>
          <w:p>
            <w:pPr>
              <w:pStyle w:val="Normal"/>
              <w:numPr>
                <w:ilvl w:val="1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КЛИЕНТ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обязуется:</w:t>
            </w:r>
          </w:p>
          <w:p>
            <w:pPr>
              <w:pStyle w:val="Normal"/>
              <w:numPr>
                <w:ilvl w:val="2"/>
                <w:numId w:val="7"/>
              </w:numPr>
              <w:tabs>
                <w:tab w:val="clear" w:pos="709"/>
              </w:tabs>
              <w:ind w:hanging="498" w:start="498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Своевременно направлять ЭКСПЕДИТОРУ Поручения на транспортно-экспедиционные  услуги. с указанием полной, точной и достоверной информации о сроках поставок. Передавать документы для осуществления таможенного, санитарного контроля и других видов государственного контроля на пути следования. Однократно письменно проинформировать Экспедитора о свойствах груза и условиях его перевозки, особых условиях обработки, упаковки и хранения груза.</w:t>
            </w:r>
          </w:p>
          <w:p>
            <w:pPr>
              <w:pStyle w:val="Normal"/>
              <w:numPr>
                <w:ilvl w:val="2"/>
                <w:numId w:val="1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Своевременно осуществлять действия, необходимые для перемещения груза, а именно: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обеспечивать готовность груза к передаче перевозчику для дальнейшей перевозки в надлежащем состоянии, а именно правильно промаркированный, окантованный, в надлежащей таре и упаковке, предохраняющей груз от порчи и повреждения в пути следования и во время перегрузке.</w:t>
            </w:r>
          </w:p>
          <w:p>
            <w:pPr>
              <w:pStyle w:val="Normal"/>
              <w:numPr>
                <w:ilvl w:val="0"/>
                <w:numId w:val="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 осуществлении перевозки, предусматривающей промежуточное хранение, своевременно направлять ЭКСПЕДИТОРУ соответствующие заявки на комплектование товарных партий, подлежащих дальнейшей перевозке в пункт назначения;</w:t>
            </w:r>
          </w:p>
          <w:p>
            <w:pPr>
              <w:pStyle w:val="Normal"/>
              <w:numPr>
                <w:ilvl w:val="2"/>
                <w:numId w:val="1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своевременно производить оплату услуг ЭКСПЕДИТОРА в соответствии с ценами, указанными в Приложении №3, а также возмещать дополнительные расходы, понесенные ЭКСПЕДИТОРОМ в интересах КЛИЕНТА в процессе перевозки и возникшие по любой причине, за исключением прямой вины ЭКСПЕДИТОРА и/или перевозчика при условии наличия подтверждающих документов.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7"/>
              </w:numPr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ОТВЕТСТВЕННОСТЬ</w:t>
            </w:r>
          </w:p>
          <w:p>
            <w:pPr>
              <w:pStyle w:val="Normal"/>
              <w:numPr>
                <w:ilvl w:val="1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неисполнение или ненадлежащее исполнение обязанностей стороны несут ответственность в соответствии с настоящим  Договором,  а также законодательством РФ.</w:t>
            </w:r>
          </w:p>
          <w:p>
            <w:pPr>
              <w:pStyle w:val="Normal"/>
              <w:numPr>
                <w:ilvl w:val="1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Стороны освобождаются от ответственности за частичное или полное неисполнение обязательств по настоящему  Договору, если это неисполнение явилось следствием обстоятельств непреодолимой силы, т.е. чрезвычайных и непредотвратимых при данных условиях обстоятельств, а именно: война, вооруженные конфликты, землетрясение, наводнение, пожар. Обстоятельства могут быть признаны об</w:t>
            </w:r>
            <w:r>
              <w:rPr>
                <w:sz w:val="22"/>
                <w:szCs w:val="22"/>
                <w:lang w:val="en-US"/>
              </w:rPr>
              <w:t>c</w:t>
            </w:r>
            <w:r>
              <w:rPr>
                <w:sz w:val="22"/>
                <w:szCs w:val="22"/>
              </w:rPr>
              <w:t>тоятельствами непреодолимой силы только после документального подтверждения органами МЧС или торговых палат государства, на территории которого данное обстоятельство возникло.</w:t>
            </w:r>
          </w:p>
          <w:p>
            <w:pPr>
              <w:pStyle w:val="Normal"/>
              <w:numPr>
                <w:ilvl w:val="1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Ответственность ЭКСПЕДИТОРА:</w:t>
            </w:r>
          </w:p>
          <w:p>
            <w:pPr>
              <w:pStyle w:val="Normal"/>
              <w:numPr>
                <w:ilvl w:val="2"/>
                <w:numId w:val="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Экспедитор несет ответственность:</w:t>
            </w:r>
          </w:p>
          <w:p>
            <w:pPr>
              <w:pStyle w:val="Normal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полную или частичную  утрату и/или порчу груза, находящегося на ответственности ЭКСПЕДИТОРА в размере стоимости груза по инвойсу.</w:t>
            </w:r>
          </w:p>
          <w:p>
            <w:pPr>
              <w:pStyle w:val="Normal"/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нарушение иных условий настоящего Договора, в том числе непредоставления своевременной информации о дополнительных затребованных документах, помимо указанных в Приложении № 1. Ответственность Экспедитора состоит в самостоятельном решении за свой счет ситуаций, возникших в связи с непредоставлением документов.</w:t>
            </w:r>
          </w:p>
          <w:p>
            <w:pPr>
              <w:pStyle w:val="Normal"/>
              <w:numPr>
                <w:ilvl w:val="2"/>
                <w:numId w:val="1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случаях, когда услуги предоставляются ЭКСПЕДИТОРОМ через третьих лиц, и ЭКСПЕДИТОР докажет, что нарушение обязательства вызвано ненадлежащим исполнением договора перевозки, ответственность ЭКСПЕДИТОРА определяется по тем же правилам, по которым перед ЭКПСПЕДИТОРОМ отвечает соответствующий перевозчик. </w:t>
            </w:r>
          </w:p>
          <w:p>
            <w:pPr>
              <w:pStyle w:val="Normal"/>
              <w:numPr>
                <w:ilvl w:val="2"/>
                <w:numId w:val="1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При отсутствии вины в действиях ЭКСПЕДИТОРА его ответственность при оказании экспедиторских услуг, связанных с перевозкой грузов в международном сообщении, ограничивается  2 единицами специально права заимствования за один килограмм веса брутто утраченного или поврежденного груза. </w:t>
            </w:r>
          </w:p>
          <w:p>
            <w:pPr>
              <w:pStyle w:val="Normal"/>
              <w:numPr>
                <w:ilvl w:val="2"/>
                <w:numId w:val="1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ЭКСПЕДИТОР освобождается от ответственности в отношении всех претензий, взысканий, ущербов, потерь и расходов, какие бы они ни были, если они вызваны: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непредоставлением Клиентом документов в соответсвии с  Поручением Экспедитору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или их недостоверностью 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естественными свойствами/характером самого груза;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отсутствием или недостаточностью упаковки, маркировки;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неполнотой или недостоверностью информации о товаре,</w:t>
            </w:r>
          </w:p>
          <w:p>
            <w:pPr>
              <w:pStyle w:val="Normal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другими обстоятельствами освобождающими от ответственности перевозчика, поименованными в нормативных актах, регулирующих тот или иной вид транспорта. </w:t>
            </w:r>
          </w:p>
          <w:p>
            <w:pPr>
              <w:pStyle w:val="Normal"/>
              <w:numPr>
                <w:ilvl w:val="1"/>
                <w:numId w:val="10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Ответственность КЛИЕНТА</w:t>
            </w:r>
          </w:p>
          <w:p>
            <w:pPr>
              <w:pStyle w:val="Normal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Клиент несет ответственность перед ЭКСПЕДИТОРОМ:</w:t>
            </w:r>
          </w:p>
          <w:p>
            <w:pPr>
              <w:pStyle w:val="Normal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 полноту, точность и достоверность предоставленной информации и документации, а также за соответствие их характеру грузов, его весу, количеству мест и стоимости товара. КЛИЕНТ несет ответственность перед ЭКСПЕДИТОРОМ за любой ущерб, возникший вследствие отсутствия, несоответствия или неточности предоставленных в соответствии с Приложением №1 документов или дополнительных документов по запросу Экспедитора. </w:t>
            </w:r>
          </w:p>
          <w:p>
            <w:pPr>
              <w:pStyle w:val="Normal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 расходы, возникшие в результате непредъявления груза к перевозке; </w:t>
            </w:r>
          </w:p>
          <w:p>
            <w:pPr>
              <w:pStyle w:val="Normal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гибель, потерю, порчу, загрязнение или задержание собственности ЭКСПЕДИТОРА или привлеченного им третьего лица, произошедшую по вине КЛИЕНТА/контрагентов КЛИЕНТА;</w:t>
            </w:r>
          </w:p>
          <w:p>
            <w:pPr>
              <w:pStyle w:val="Normal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необоснованный отказ в оплате и несвоевременную оплату счетов ЭКСПЕДИТОРА;</w:t>
            </w:r>
          </w:p>
          <w:p>
            <w:pPr>
              <w:pStyle w:val="Normal"/>
              <w:numPr>
                <w:ilvl w:val="0"/>
                <w:numId w:val="1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 расходы, возникшие в результате обстоятельств, указанных в ст. 4 настоящего Договора.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firstLine="426" w:start="72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ПРАВО УДЕРЖАНИЯ.</w:t>
            </w:r>
          </w:p>
          <w:p>
            <w:pPr>
              <w:pStyle w:val="Normal"/>
              <w:numPr>
                <w:ilvl w:val="1"/>
                <w:numId w:val="1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ЭКСПЕДИТОР имеет право удержания грузов КЛИЕНТА в качестве обеспечения оплаты причитающихся ему сумм, компенсации документально подтвержденных расходов и претензий применительно к услугам, оказанным ЭКСПЕДИТОРОМ КЛИЕНТУ.</w:t>
            </w:r>
          </w:p>
          <w:p>
            <w:pPr>
              <w:pStyle w:val="Normal"/>
              <w:numPr>
                <w:ilvl w:val="1"/>
                <w:numId w:val="1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 расходы, связанные с удержанием груза, а также за возникшую порчу груза вследствие  его удержания ЭКСПЕДИТОРОМ в случаях, предусмотренных в пункте 4.1, ответственность несет КЛИЕНТ. </w:t>
            </w:r>
          </w:p>
          <w:p>
            <w:pPr>
              <w:pStyle w:val="Normal"/>
              <w:numPr>
                <w:ilvl w:val="1"/>
                <w:numId w:val="1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целях получения суммы, удовлетворяющей претензии в отношении вышеуказанных вознаграждений и расходов,  ЭКСПЕДИТОР имеет право продать полностью или частично товар, в отношении которого он воспользовался правом удержания.</w:t>
            </w:r>
          </w:p>
          <w:p>
            <w:pPr>
              <w:pStyle w:val="Normal"/>
              <w:numPr>
                <w:ilvl w:val="1"/>
                <w:numId w:val="1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 тем как воспользоваться своим правом продать товар, ЭКСПЕДИТОР обязан приложить разумные усилия к тому, чтобы уведомить КЛИЕНТА о планируемой продаже. ЭКСПЕДИТОР обязан правильно рассчитать количество товара, которое должно быть продано для погашения причитающейся задолженности и разумных расходов по организации продажи.</w:t>
            </w:r>
          </w:p>
          <w:p>
            <w:pPr>
              <w:pStyle w:val="Normal"/>
              <w:numPr>
                <w:ilvl w:val="1"/>
                <w:numId w:val="13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рамках настоящего Договора ЭКСПЕДИТОР может воспользоваться правом продажи товара после 45 дней просрочки оплаты КЛИЕНТОМ сумм, причитающихся ЭКСПЕДИТОРУ.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firstLine="356" w:start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ЦЕНЫ И ПОРЯДОК РАСЧЕТОВ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КЛИЕНТ оплачивает услуги ЭКСПЕДИТОРА на основании счета и в соответствии с Приложением №3 к Договору выставленного ЭКСПЕДИТОРОМ в рублях по курсу Евро Центрального Банка РФ на день выставления счета, с разбивкой до границы и после границы с указанием номера договора и даты его заключения, номер машины и сцепки (в случае исползования), номеров инвойсов, номера </w:t>
            </w:r>
            <w:r>
              <w:rPr>
                <w:sz w:val="22"/>
                <w:szCs w:val="22"/>
                <w:lang w:val="en-US"/>
              </w:rPr>
              <w:t>CMR</w:t>
            </w:r>
            <w:r>
              <w:rPr>
                <w:sz w:val="22"/>
                <w:szCs w:val="22"/>
              </w:rPr>
              <w:t>, количества товаров, веса БРУТТО. Комплект документов (счета-фактуры, Акты) предоставляется в российских рублях по курсу Центрального банка Российской Федерации на день выставления счета.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КЛИЕНТ также оплачивает дополнительные согласованные расходы, понесенные ЭКСПЕДИТОРОМ в интересах КЛИЕНТА, возникшие в процессе перевозки, в соответствии со счетами ЭКСПЕДИТОРА и прилагаемыми к ним корреспондентскими счетами в течение 3 банковских дней с момента выставления счета ЭКСПЕДИТОРОМ.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Оплата услуг ЭКСПЕДИТОРА осуществляется КЛИЕНТОМ путем перечисления денежных средств на счет ЭКСПЕДИТОРА на основании счетов ЭКСПЕДИТОРА в течение трех банковских дней с момента прибытия грузов КЛИЕНТА в место конечной выгрузки. 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Возможна предоплата услуг по счетам Экспедитора.  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 завершению услуг ЭКСПЕДИТОР предоставляет КЛИЕНТУ АКТ выполненных работ (услуг). КЛИЕНТ в течение 5 дней с момента получения вышеуказанного акта подписывает его и возвращает ЭКСПЕДИТОРУ, либо заявляет о своих претензиях в письменной форме.</w:t>
            </w:r>
          </w:p>
          <w:p>
            <w:pPr>
              <w:pStyle w:val="Normal"/>
              <w:numPr>
                <w:ilvl w:val="1"/>
                <w:numId w:val="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случае, если КЛИЕНТ без предъявления претензий по качеству и / или объему оказанных услуг не предоставляет ЭКСПЕДИТОРУ в установленный срок, подписанный акт, услуги считаются оказанными в полном объеме.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firstLine="356" w:start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ДЕЙСТВИЯ</w:t>
            </w:r>
          </w:p>
          <w:p>
            <w:pPr>
              <w:pStyle w:val="Normal"/>
              <w:numPr>
                <w:ilvl w:val="1"/>
                <w:numId w:val="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Настоящий Договор вступает в силу с момента подписания его обеими сторонами и действует до «__»  ___________ 201__  г. включительно, если стороны не уведомят друг друга не позднее, чем за 30 дней о прекращении договора или о его продлении на тех же или иных условиях.  </w:t>
            </w:r>
          </w:p>
          <w:p>
            <w:pPr>
              <w:pStyle w:val="Normal"/>
              <w:numPr>
                <w:ilvl w:val="1"/>
                <w:numId w:val="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Уведомление о прекращении или продлении настоящего Договора должно направляться письменно.</w:t>
            </w:r>
          </w:p>
          <w:p>
            <w:pPr>
              <w:pStyle w:val="Normal"/>
              <w:numPr>
                <w:ilvl w:val="1"/>
                <w:numId w:val="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Прекращение действия настоящего Договора должно осуществляться без ущерба прав и обязанностей сторон; при этом ни одна из сторон не обязана выплачивать другой стороне какую-либо компенсацию за упущенную выгоду и т.п.</w:t>
            </w:r>
          </w:p>
          <w:p>
            <w:pPr>
              <w:pStyle w:val="Normal"/>
              <w:numPr>
                <w:ilvl w:val="1"/>
                <w:numId w:val="4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 прекращении действия настоящего Договора КЛИЕНТ  обязан в течение 14 дней выплатить ЭКСПЕДИТОРУ все причитающиеся ему на дату прекращения вознаграждения и компенсацию расходов, понесенных ЭКСПЕДИТОРОМ в интересах КЛИЕНТА.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firstLine="426" w:start="72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ПРОЧИЕ УСЛОВИЯ</w:t>
            </w:r>
          </w:p>
          <w:p>
            <w:pPr>
              <w:pStyle w:val="Normal"/>
              <w:numPr>
                <w:ilvl w:val="1"/>
                <w:numId w:val="1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своей деятельности Стороны руководствуются настоящим Договором, а также законодательством РФ. Любые споры, возникающие по настоящему Договору, которые не могут быть решены по взаимному согласию сторон, подлежат рассмотрению в Арбитражном суде ___________________________.</w:t>
            </w:r>
          </w:p>
          <w:p>
            <w:pPr>
              <w:pStyle w:val="Normal"/>
              <w:numPr>
                <w:ilvl w:val="1"/>
                <w:numId w:val="1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Настоящий договор составлен в двух экземплярах, по одному экземпляру для каждой из сторон, при этом оба экземпляра имеют равную юридическую силу.</w:t>
            </w:r>
          </w:p>
          <w:p>
            <w:pPr>
              <w:pStyle w:val="Normal"/>
              <w:numPr>
                <w:ilvl w:val="1"/>
                <w:numId w:val="16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 изменения и дополнения к настоящему договору действительны лишь в том случае, если они совершены в письменной форме и подписаны уполномоченными представителями Сторон.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10"/>
              </w:numPr>
              <w:tabs>
                <w:tab w:val="clear" w:pos="709"/>
              </w:tabs>
              <w:ind w:firstLine="498" w:start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ЮРИДИЧЕСКИЕ АДРЕСА СТОРОН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tbl>
            <w:tblPr>
              <w:tblW w:w="907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708"/>
              <w:gridCol w:w="4364"/>
            </w:tblGrid>
            <w:tr>
              <w:trPr>
                <w:trHeight w:val="3474" w:hRule="atLeast"/>
              </w:trPr>
              <w:tc>
                <w:tcPr>
                  <w:tcW w:w="4708" w:type="dxa"/>
                  <w:tcBorders/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Клиент:</w:t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_____________________________</w:t>
                  </w:r>
                </w:p>
                <w:p>
                  <w:pPr>
                    <w:pStyle w:val="Normal"/>
                    <w:jc w:val="both"/>
                    <w:rPr/>
                  </w:pPr>
                  <w:r>
                    <w:rPr>
                      <w:b/>
                      <w:sz w:val="22"/>
                      <w:szCs w:val="22"/>
                    </w:rPr>
                    <w:t>______________________</w:t>
                  </w:r>
                  <w:r>
                    <w:rPr>
                      <w:sz w:val="22"/>
                      <w:szCs w:val="22"/>
                    </w:rPr>
                    <w:t>/______________/</w:t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                       </w:t>
                  </w:r>
                  <w:r>
                    <w:rPr>
                      <w:sz w:val="22"/>
                      <w:szCs w:val="22"/>
                    </w:rPr>
                    <w:t>М.П.</w:t>
                  </w:r>
                </w:p>
              </w:tc>
              <w:tc>
                <w:tcPr>
                  <w:tcW w:w="4364" w:type="dxa"/>
                  <w:tcBorders/>
                </w:tcPr>
                <w:p>
                  <w:pPr>
                    <w:pStyle w:val="Normal"/>
                    <w:snapToGrid w:val="false"/>
                    <w:jc w:val="both"/>
                    <w:rPr/>
                  </w:pPr>
                  <w:r>
                    <w:rPr>
                      <w:b/>
                      <w:sz w:val="22"/>
                      <w:szCs w:val="22"/>
                    </w:rPr>
                    <w:t>Экспедитор:</w:t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jc w:val="both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_____________________________</w:t>
                  </w:r>
                </w:p>
                <w:p>
                  <w:pPr>
                    <w:pStyle w:val="Normal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______________________</w:t>
                  </w:r>
                  <w:r>
                    <w:rPr>
                      <w:sz w:val="22"/>
                      <w:szCs w:val="22"/>
                    </w:rPr>
                    <w:t>/______________/</w:t>
                  </w:r>
                </w:p>
                <w:p>
                  <w:pPr>
                    <w:pStyle w:val="Normal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                       </w:t>
                  </w:r>
                  <w:r>
                    <w:rPr>
                      <w:sz w:val="22"/>
                      <w:szCs w:val="22"/>
                    </w:rPr>
                    <w:t>М.П.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</w:r>
      <w:r>
        <w:br w:type="page"/>
      </w:r>
    </w:p>
    <w:p>
      <w:pPr>
        <w:pStyle w:val="Normal"/>
        <w:ind w:start="6804" w:end="0"/>
        <w:rPr>
          <w:sz w:val="22"/>
          <w:szCs w:val="22"/>
        </w:rPr>
      </w:pPr>
      <w:r>
        <w:rPr>
          <w:sz w:val="22"/>
          <w:szCs w:val="22"/>
        </w:rPr>
        <w:t>Приложение № 1</w:t>
      </w:r>
    </w:p>
    <w:p>
      <w:pPr>
        <w:pStyle w:val="Normal"/>
        <w:ind w:start="6804" w:end="0"/>
        <w:rPr>
          <w:sz w:val="22"/>
          <w:szCs w:val="22"/>
        </w:rPr>
      </w:pPr>
      <w:r>
        <w:rPr>
          <w:sz w:val="22"/>
          <w:szCs w:val="22"/>
        </w:rPr>
        <w:t xml:space="preserve">к Договору № ____ </w:t>
      </w:r>
    </w:p>
    <w:p>
      <w:pPr>
        <w:pStyle w:val="Normal"/>
        <w:ind w:start="6804" w:end="0"/>
        <w:rPr/>
      </w:pPr>
      <w:r>
        <w:rPr>
          <w:sz w:val="22"/>
          <w:szCs w:val="22"/>
        </w:rPr>
        <w:t>от "___" ____ 201__ г.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ПОРУЧЕНИЕ (ОБРАЗЕЦ)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Клиент поручает Экспедитору осуществление транспортно-экспедиционных услуг в 2 этапа путем:</w:t>
      </w:r>
    </w:p>
    <w:p>
      <w:pPr>
        <w:pStyle w:val="ConsPlusNonformat"/>
        <w:widowControl/>
        <w:tabs>
          <w:tab w:val="clear" w:pos="709"/>
          <w:tab w:val="left" w:pos="180" w:leader="none"/>
        </w:tabs>
        <w:ind w:start="36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1. Направления по электронной почте ответственному лицу Экспедитора копий следующих документов:</w:t>
      </w:r>
    </w:p>
    <w:p>
      <w:pPr>
        <w:pStyle w:val="ConsPlusNonformat"/>
        <w:widowControl/>
        <w:numPr>
          <w:ilvl w:val="1"/>
          <w:numId w:val="1"/>
        </w:numPr>
        <w:tabs>
          <w:tab w:val="clear" w:pos="709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Инвойсы Поставщика </w:t>
      </w:r>
    </w:p>
    <w:p>
      <w:pPr>
        <w:pStyle w:val="ConsPlusNonformat"/>
        <w:widowControl/>
        <w:numPr>
          <w:ilvl w:val="1"/>
          <w:numId w:val="1"/>
        </w:numPr>
        <w:tabs>
          <w:tab w:val="clear" w:pos="709"/>
          <w:tab w:val="left" w:pos="180" w:leader="none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Упаковочные листы</w:t>
      </w:r>
    </w:p>
    <w:p>
      <w:pPr>
        <w:pStyle w:val="ConsPlusNonformat"/>
        <w:widowControl/>
        <w:numPr>
          <w:ilvl w:val="1"/>
          <w:numId w:val="1"/>
        </w:numPr>
        <w:tabs>
          <w:tab w:val="clear" w:pos="709"/>
          <w:tab w:val="left" w:pos="180" w:leader="none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Экспортная декларация EX1</w:t>
      </w:r>
    </w:p>
    <w:p>
      <w:pPr>
        <w:pStyle w:val="ConsPlusNonformat"/>
        <w:widowControl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2. Направления по электронной почте ответственному лицу Экспедитора следующих документов, необходимых для прохождения границ государств при транспортировке груза:</w:t>
      </w:r>
    </w:p>
    <w:p>
      <w:pPr>
        <w:pStyle w:val="ConsPlusNonformat"/>
        <w:widowControl/>
        <w:numPr>
          <w:ilvl w:val="0"/>
          <w:numId w:val="2"/>
        </w:numPr>
        <w:tabs>
          <w:tab w:val="clear" w:pos="709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Спецификацию на товар с указанием артикулов, кодов ТН ВЭД, </w:t>
      </w:r>
    </w:p>
    <w:p>
      <w:pPr>
        <w:pStyle w:val="ConsPlusNonformat"/>
        <w:widowControl/>
        <w:numPr>
          <w:ilvl w:val="0"/>
          <w:numId w:val="2"/>
        </w:numPr>
        <w:tabs>
          <w:tab w:val="clear" w:pos="709"/>
          <w:tab w:val="left" w:pos="360" w:leader="none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Документы, подтверждающие состав и назначение товара</w:t>
      </w:r>
    </w:p>
    <w:p>
      <w:pPr>
        <w:pStyle w:val="ConsPlusNonformat"/>
        <w:widowControl/>
        <w:numPr>
          <w:ilvl w:val="0"/>
          <w:numId w:val="2"/>
        </w:numPr>
        <w:tabs>
          <w:tab w:val="clear" w:pos="709"/>
          <w:tab w:val="left" w:pos="360" w:leader="none"/>
          <w:tab w:val="left" w:pos="1440" w:leader="none"/>
        </w:tabs>
        <w:ind w:hanging="360" w:start="1440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Сертификаты СЭЗ</w:t>
      </w:r>
    </w:p>
    <w:p>
      <w:pPr>
        <w:pStyle w:val="ConsPlusNonformat"/>
        <w:widowControl/>
        <w:tabs>
          <w:tab w:val="clear" w:pos="709"/>
          <w:tab w:val="left" w:pos="180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Если иное не указано в письменном виде, Поручение подразумевает оказание следующих услуг: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разгразка т/с отправителя на консолидированном складе в г.___________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консолидация грузов отправителя на складе в г.___________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- оформление документов, необходимых для надлежащего выполнения перевозки/транспортировки</w:t>
      </w:r>
    </w:p>
    <w:p>
      <w:pPr>
        <w:pStyle w:val="ConsPlusNonformat"/>
        <w:widowControl/>
        <w:rPr/>
      </w:pPr>
      <w:r>
        <w:rPr>
          <w:rFonts w:cs="Times New Roman" w:ascii="Times New Roman" w:hAnsi="Times New Roman"/>
          <w:sz w:val="22"/>
          <w:szCs w:val="22"/>
        </w:rPr>
        <w:t>- перевозка/транспортировку из г.___________ до склада в г.______________ с промежуточным заездом на таможенный пост Клиента.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8"/>
        <w:gridCol w:w="4364"/>
      </w:tblGrid>
      <w:tr>
        <w:trPr>
          <w:trHeight w:val="3474" w:hRule="atLeast"/>
        </w:trPr>
        <w:tc>
          <w:tcPr>
            <w:tcW w:w="4708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Клиент: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364" w:type="dxa"/>
            <w:tcBorders/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b/>
                <w:sz w:val="22"/>
                <w:szCs w:val="22"/>
              </w:rPr>
              <w:t>Экспедитор: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</w:tr>
    </w:tbl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  <w:r>
        <w:br w:type="page"/>
      </w:r>
    </w:p>
    <w:p>
      <w:pPr>
        <w:pStyle w:val="Normal"/>
        <w:ind w:start="6804" w:end="0"/>
        <w:rPr>
          <w:sz w:val="22"/>
          <w:szCs w:val="22"/>
        </w:rPr>
      </w:pPr>
      <w:r>
        <w:rPr>
          <w:sz w:val="22"/>
          <w:szCs w:val="22"/>
        </w:rPr>
        <w:t>Приложение № 2</w:t>
      </w:r>
    </w:p>
    <w:p>
      <w:pPr>
        <w:pStyle w:val="Normal"/>
        <w:ind w:start="6804" w:end="0"/>
        <w:rPr>
          <w:sz w:val="22"/>
          <w:szCs w:val="22"/>
        </w:rPr>
      </w:pPr>
      <w:r>
        <w:rPr>
          <w:sz w:val="22"/>
          <w:szCs w:val="22"/>
        </w:rPr>
        <w:t xml:space="preserve">к Договору № __ </w:t>
      </w:r>
    </w:p>
    <w:p>
      <w:pPr>
        <w:pStyle w:val="Normal"/>
        <w:ind w:start="6804" w:end="0"/>
        <w:rPr/>
      </w:pPr>
      <w:r>
        <w:rPr>
          <w:sz w:val="22"/>
          <w:szCs w:val="22"/>
        </w:rPr>
        <w:t>от "__" _____ 201__ г.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ЭКСПЕДИТОРСКАЯ РАСПИСКА (ОБРАЗЕЦ)</w:t>
      </w:r>
    </w:p>
    <w:p>
      <w:pPr>
        <w:pStyle w:val="ConsPlusNonformat"/>
        <w:widowControl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</w:t>
      </w:r>
      <w:r>
        <w:rPr>
          <w:rFonts w:cs="Times New Roman" w:ascii="Times New Roman" w:hAnsi="Times New Roman"/>
          <w:sz w:val="22"/>
          <w:szCs w:val="22"/>
        </w:rPr>
        <w:t>_______________                                                       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   </w:t>
      </w:r>
      <w:r>
        <w:rPr>
          <w:rFonts w:cs="Times New Roman" w:ascii="Times New Roman" w:hAnsi="Times New Roman"/>
          <w:sz w:val="22"/>
          <w:szCs w:val="22"/>
        </w:rPr>
        <w:t>1 (дата)                                                                     2 (номер)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3 Грузоотправитель__________________________________________________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4 Клиент_____________________________________________________________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5 Экспедитор________________________________________________________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6 Страна происхождения груза______________________________________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7 Товарный код ___________________8 Маркировка_____________________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9 Количество мест, вид упаковки 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10 Вес брутто, нетто ___________________ 11 Объем ___________________ 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12 Стоимость ________________13 Размер упаковки___________________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14 Условия 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15 Особые отметки 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16 Подпись экспедитора_____________________________________________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______________________________________________________________________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17. Дата поставки груза на Таможенный пост 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97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8"/>
        <w:gridCol w:w="4364"/>
        <w:gridCol w:w="643"/>
      </w:tblGrid>
      <w:tr>
        <w:trPr>
          <w:trHeight w:val="3474" w:hRule="atLeast"/>
        </w:trPr>
        <w:tc>
          <w:tcPr>
            <w:tcW w:w="4708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Клиент: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364" w:type="dxa"/>
            <w:tcBorders/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b/>
                <w:sz w:val="22"/>
                <w:szCs w:val="22"/>
              </w:rPr>
              <w:t>Экспедитор: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643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4708" w:type="dxa"/>
            <w:tcBorders/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007" w:type="dxa"/>
            <w:gridSpan w:val="2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</w:tbl>
    <w:p>
      <w:pPr>
        <w:pStyle w:val="Normal"/>
        <w:ind w:start="6804" w:end="0"/>
        <w:rPr>
          <w:sz w:val="22"/>
          <w:szCs w:val="22"/>
        </w:rPr>
      </w:pPr>
      <w:r>
        <w:br w:type="page"/>
      </w:r>
      <w:r>
        <w:rPr>
          <w:sz w:val="22"/>
          <w:szCs w:val="22"/>
        </w:rPr>
        <w:t>Приложение № 3</w:t>
      </w:r>
    </w:p>
    <w:p>
      <w:pPr>
        <w:pStyle w:val="Normal"/>
        <w:ind w:start="6804" w:end="0"/>
        <w:rPr>
          <w:sz w:val="22"/>
          <w:szCs w:val="22"/>
        </w:rPr>
      </w:pPr>
      <w:r>
        <w:rPr>
          <w:sz w:val="22"/>
          <w:szCs w:val="22"/>
        </w:rPr>
        <w:t xml:space="preserve">к Договору №  </w:t>
      </w:r>
    </w:p>
    <w:p>
      <w:pPr>
        <w:pStyle w:val="Normal"/>
        <w:ind w:start="6804" w:end="0"/>
        <w:rPr/>
      </w:pPr>
      <w:r>
        <w:rPr>
          <w:sz w:val="22"/>
          <w:szCs w:val="22"/>
        </w:rPr>
        <w:t>от "__" ______ 201__ г.</w:t>
      </w:r>
    </w:p>
    <w:p>
      <w:pPr>
        <w:pStyle w:val="ConsPlusNonformat"/>
        <w:widowControl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21"/>
        <w:spacing w:before="0" w:after="0"/>
        <w:rPr>
          <w:rFonts w:ascii="Times New Roman" w:hAnsi="Times New Roman" w:cs="Times New Roman"/>
          <w:b w:val="false"/>
          <w:sz w:val="22"/>
          <w:szCs w:val="22"/>
        </w:rPr>
      </w:pPr>
      <w:r>
        <w:rPr>
          <w:rFonts w:cs="Times New Roman"/>
          <w:b w:val="false"/>
          <w:sz w:val="22"/>
          <w:szCs w:val="22"/>
        </w:rPr>
      </w:r>
    </w:p>
    <w:p>
      <w:pPr>
        <w:pStyle w:val="21"/>
        <w:spacing w:before="0" w:after="0"/>
        <w:rPr>
          <w:sz w:val="22"/>
        </w:rPr>
      </w:pPr>
      <w:r>
        <w:rPr>
          <w:sz w:val="22"/>
        </w:rPr>
      </w:r>
    </w:p>
    <w:p>
      <w:pPr>
        <w:pStyle w:val="21"/>
        <w:spacing w:before="0" w:after="0"/>
        <w:rPr>
          <w:sz w:val="22"/>
        </w:rPr>
      </w:pPr>
      <w:r>
        <w:rPr>
          <w:sz w:val="22"/>
        </w:rPr>
        <w:t>ПРОТОКОЛ СОГЛАСОВАНИЯ ЦЕНЫ</w:t>
      </w:r>
    </w:p>
    <w:p>
      <w:pPr>
        <w:pStyle w:val="21"/>
        <w:spacing w:before="0" w:after="0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>НА ОКАЗЫВАЕМЫЕ ТАМОЖЕННЫМ ПРЕДСТАВИТЕЛЕМ УСЛУГИ</w:t>
      </w:r>
    </w:p>
    <w:p>
      <w:pPr>
        <w:pStyle w:val="Normal"/>
        <w:spacing w:before="120" w:after="120"/>
        <w:ind w:end="43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before="120" w:after="120"/>
        <w:ind w:end="43"/>
        <w:jc w:val="center"/>
        <w:rPr/>
      </w:pPr>
      <w:r>
        <w:rPr>
          <w:sz w:val="22"/>
          <w:szCs w:val="22"/>
        </w:rPr>
        <w:t xml:space="preserve">г. _____________ </w:t>
        <w:tab/>
        <w:tab/>
        <w:t xml:space="preserve">                   </w:t>
        <w:tab/>
        <w:t xml:space="preserve">                                             «___» ______ 201__ года</w:t>
      </w:r>
    </w:p>
    <w:p>
      <w:pPr>
        <w:pStyle w:val="Normal"/>
        <w:ind w:firstLine="540" w:end="42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540" w:end="42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условиями договора ЭКСПЕДИТОР и КЛИЕНТ составили настоящий протокол, согласно которому КЛИЕНТ оплачивает оказанные ему ЭКСПЕДИТОРОМ ниже указанные услуги по транспортно-экспедиционному обслуживанию.</w:t>
      </w:r>
    </w:p>
    <w:p>
      <w:pPr>
        <w:pStyle w:val="Normal"/>
        <w:ind w:firstLine="540" w:start="540" w:end="42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66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6"/>
        <w:gridCol w:w="6222"/>
        <w:gridCol w:w="2900"/>
      </w:tblGrid>
      <w:tr>
        <w:trPr/>
        <w:tc>
          <w:tcPr>
            <w:tcW w:w="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№ </w:t>
            </w:r>
            <w:r>
              <w:rPr>
                <w:b/>
                <w:sz w:val="22"/>
                <w:szCs w:val="22"/>
              </w:rPr>
              <w:t>п/п</w:t>
            </w:r>
          </w:p>
        </w:tc>
        <w:tc>
          <w:tcPr>
            <w:tcW w:w="6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2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Стоимость услуги, в ЕВРО </w:t>
            </w:r>
          </w:p>
        </w:tc>
      </w:tr>
      <w:tr>
        <w:trPr/>
        <w:tc>
          <w:tcPr>
            <w:tcW w:w="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6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ТРАНСПОРТНО-ЭКСПЕДИЦИОННОЕ ОБСЛУЖИВАНИЕ</w:t>
            </w:r>
          </w:p>
        </w:tc>
        <w:tc>
          <w:tcPr>
            <w:tcW w:w="2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W w:w="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1.1.</w:t>
            </w:r>
          </w:p>
        </w:tc>
        <w:tc>
          <w:tcPr>
            <w:tcW w:w="6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firstLine="708" w:end="0"/>
        <w:jc w:val="both"/>
        <w:rPr/>
      </w:pPr>
      <w:r>
        <w:rPr/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 xml:space="preserve">Если КЛИЕНТУ необходимо оказать транспортно-экспедиционные услуги не указанные в данном протоколе, то стоимость оказания данной услуги определяется дополнительным соглашением к договору. Все цены указаны без учета НДС (НДС 18%). </w:t>
      </w:r>
      <w:r>
        <w:rPr>
          <w:color w:val="000000"/>
          <w:sz w:val="22"/>
          <w:szCs w:val="22"/>
        </w:rPr>
        <w:t xml:space="preserve">Цены могут меняться с учетом сезонности, срочности и характера груза. </w:t>
      </w:r>
    </w:p>
    <w:p>
      <w:pPr>
        <w:pStyle w:val="ConsPlusNonformat"/>
        <w:widowControl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ConsPlusNonformat"/>
        <w:widowControl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90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08"/>
        <w:gridCol w:w="4364"/>
      </w:tblGrid>
      <w:tr>
        <w:trPr>
          <w:trHeight w:val="3474" w:hRule="atLeast"/>
        </w:trPr>
        <w:tc>
          <w:tcPr>
            <w:tcW w:w="4708" w:type="dxa"/>
            <w:tcBorders/>
          </w:tcPr>
          <w:p>
            <w:pPr>
              <w:pStyle w:val="Normal"/>
              <w:snapToGrid w:val="false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Клиент: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364" w:type="dxa"/>
            <w:tcBorders/>
          </w:tcPr>
          <w:p>
            <w:pPr>
              <w:pStyle w:val="Normal"/>
              <w:snapToGrid w:val="false"/>
              <w:jc w:val="both"/>
              <w:rPr/>
            </w:pPr>
            <w:r>
              <w:rPr>
                <w:b/>
                <w:sz w:val="22"/>
                <w:szCs w:val="22"/>
              </w:rPr>
              <w:t>Экспедитор: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2"/>
                <w:szCs w:val="22"/>
              </w:rPr>
              <w:t>______________________</w:t>
            </w:r>
            <w:r>
              <w:rPr>
                <w:sz w:val="22"/>
                <w:szCs w:val="22"/>
              </w:rPr>
              <w:t>/______________/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>
              <w:rPr>
                <w:sz w:val="22"/>
                <w:szCs w:val="22"/>
              </w:rPr>
              <w:t>М.П.</w:t>
            </w:r>
          </w:p>
        </w:tc>
      </w:tr>
    </w:tbl>
    <w:p>
      <w:pPr>
        <w:pStyle w:val="Normal"/>
        <w:tabs>
          <w:tab w:val="clear" w:pos="709"/>
          <w:tab w:val="left" w:pos="426" w:leader="none"/>
        </w:tabs>
        <w:jc w:val="both"/>
        <w:rPr/>
      </w:pPr>
      <w:r>
        <w:rPr/>
      </w:r>
    </w:p>
    <w:sectPr>
      <w:footerReference w:type="default" r:id="rId2"/>
      <w:type w:val="nextPage"/>
      <w:pgSz w:w="11906" w:h="16838"/>
      <w:pgMar w:left="1418" w:right="567" w:gutter="0" w:header="0" w:top="851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page">
                <wp:posOffset>6956425</wp:posOffset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pt;height:11.5pt;mso-wrap-distance-left:0pt;mso-wrap-distance-right:0pt;mso-wrap-distance-top:0pt;mso-wrap-distance-bottom:0pt;margin-top:0.05pt;mso-position-vertical-relative:text;margin-left:547.7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</w:abstractNum>
  <w:abstractNum w:abstractNumId="3">
    <w:lvl w:ilvl="0">
      <w:start w:val="3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4">
    <w:lvl w:ilvl="0">
      <w:start w:val="6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5">
    <w:lvl w:ilvl="0">
      <w:start w:val="1"/>
      <w:numFmt w:val="decimal"/>
      <w:lvlText w:val="2.%1."/>
      <w:lvlJc w:val="start"/>
      <w:pPr>
        <w:tabs>
          <w:tab w:val="num" w:pos="360"/>
        </w:tabs>
        <w:ind w:start="360" w:hanging="360"/>
      </w:pPr>
      <w:rPr>
        <w:rFonts w:ascii="Times New Roman" w:hAnsi="Times New Roman" w:eastAsia="Times New Roman" w:cs="Times New Roman"/>
        <w:i w:val="false"/>
      </w:rPr>
    </w:lvl>
    <w:lvl w:ilvl="1">
      <w:start w:val="1"/>
      <w:numFmt w:val="decimal"/>
      <w:lvlText w:val="%2.1.1"/>
      <w:lvlJc w:val="start"/>
      <w:pPr>
        <w:tabs>
          <w:tab w:val="num" w:pos="792"/>
        </w:tabs>
        <w:ind w:start="792" w:hanging="432"/>
      </w:pPr>
    </w:lvl>
    <w:lvl w:ilvl="2">
      <w:start w:val="1"/>
      <w:numFmt w:val="decimal"/>
      <w:lvlText w:val=".%2.%3."/>
      <w:lvlJc w:val="start"/>
      <w:pPr>
        <w:tabs>
          <w:tab w:val="num" w:pos="1440"/>
        </w:tabs>
        <w:ind w:start="1224" w:hanging="504"/>
      </w:pPr>
    </w:lvl>
    <w:lvl w:ilvl="3">
      <w:start w:val="1"/>
      <w:numFmt w:val="decimal"/>
      <w:lvlText w:val=".%2.%3.%4."/>
      <w:lvlJc w:val="start"/>
      <w:pPr>
        <w:tabs>
          <w:tab w:val="num" w:pos="1800"/>
        </w:tabs>
        <w:ind w:start="1728" w:hanging="648"/>
      </w:pPr>
    </w:lvl>
    <w:lvl w:ilvl="4">
      <w:start w:val="1"/>
      <w:numFmt w:val="decimal"/>
      <w:lvlText w:val=".%2.%3.%4.%5."/>
      <w:lvlJc w:val="start"/>
      <w:pPr>
        <w:tabs>
          <w:tab w:val="num" w:pos="2520"/>
        </w:tabs>
        <w:ind w:start="2232" w:hanging="792"/>
      </w:pPr>
    </w:lvl>
    <w:lvl w:ilvl="5">
      <w:start w:val="1"/>
      <w:numFmt w:val="decimal"/>
      <w:lvlText w:val=".%2.%3.%4.%5.%6."/>
      <w:lvlJc w:val="start"/>
      <w:pPr>
        <w:tabs>
          <w:tab w:val="num" w:pos="2880"/>
        </w:tabs>
        <w:ind w:start="2736" w:hanging="936"/>
      </w:pPr>
    </w:lvl>
    <w:lvl w:ilvl="6">
      <w:start w:val="1"/>
      <w:numFmt w:val="decimal"/>
      <w:lvlText w:val=".%2.%3.%4.%5.%6.%7."/>
      <w:lvlJc w:val="start"/>
      <w:pPr>
        <w:tabs>
          <w:tab w:val="num" w:pos="3600"/>
        </w:tabs>
        <w:ind w:start="3240" w:hanging="1080"/>
      </w:pPr>
    </w:lvl>
    <w:lvl w:ilvl="7">
      <w:start w:val="1"/>
      <w:numFmt w:val="decimal"/>
      <w:lvlText w:val=".%2.%3.%4.%5.%6.%7.%8."/>
      <w:lvlJc w:val="start"/>
      <w:pPr>
        <w:tabs>
          <w:tab w:val="num" w:pos="3960"/>
        </w:tabs>
        <w:ind w:start="3744" w:hanging="1224"/>
      </w:pPr>
    </w:lvl>
    <w:lvl w:ilvl="8">
      <w:start w:val="1"/>
      <w:numFmt w:val="decimal"/>
      <w:lvlText w:val=".%2.%3.%4.%5.%6.%7.%8.%9."/>
      <w:lvlJc w:val="start"/>
      <w:pPr>
        <w:tabs>
          <w:tab w:val="num" w:pos="4680"/>
        </w:tabs>
        <w:ind w:start="4320" w:hanging="1440"/>
      </w:pPr>
    </w:lvl>
  </w:abstractNum>
  <w:abstractNum w:abstractNumId="6">
    <w:lvl w:ilvl="0">
      <w:start w:val="5"/>
      <w:numFmt w:val="decimal"/>
      <w:lvlText w:val="%1"/>
      <w:lvlJc w:val="start"/>
      <w:pPr>
        <w:tabs>
          <w:tab w:val="num" w:pos="360"/>
        </w:tabs>
        <w:ind w:start="360" w:hanging="360"/>
      </w:pPr>
      <w:rPr>
        <w:b w:val="false"/>
        <w:u w:val="none"/>
      </w:r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  <w:rPr>
        <w:b w:val="false"/>
        <w:u w:val="none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b w:val="false"/>
        <w:u w:val="none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b w:val="false"/>
        <w:u w:val="none"/>
      </w:r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>
        <w:b w:val="false"/>
        <w:u w:val="none"/>
      </w:r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>
        <w:b w:val="false"/>
        <w:u w:val="none"/>
      </w:rPr>
    </w:lvl>
    <w:lvl w:ilvl="6">
      <w:start w:val="1"/>
      <w:numFmt w:val="decimal"/>
      <w:lvlText w:val="%1.%2.%3.%4.%5.%6.%7"/>
      <w:lvlJc w:val="start"/>
      <w:pPr>
        <w:tabs>
          <w:tab w:val="num" w:pos="1080"/>
        </w:tabs>
        <w:ind w:start="1080" w:hanging="1080"/>
      </w:pPr>
      <w:rPr>
        <w:b w:val="false"/>
        <w:u w:val="none"/>
      </w:r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>
        <w:b w:val="false"/>
        <w:u w:val="none"/>
      </w:rPr>
    </w:lvl>
    <w:lvl w:ilvl="8">
      <w:start w:val="1"/>
      <w:numFmt w:val="decimal"/>
      <w:lvlText w:val="%1.%2.%3.%4.%5.%6.%7.%8.%9"/>
      <w:lvlJc w:val="start"/>
      <w:pPr>
        <w:tabs>
          <w:tab w:val="num" w:pos="1440"/>
        </w:tabs>
        <w:ind w:start="1440" w:hanging="1440"/>
      </w:pPr>
      <w:rPr>
        <w:b w:val="false"/>
        <w:u w:val="none"/>
      </w:rPr>
    </w:lvl>
  </w:abstractNum>
  <w:abstractNum w:abstractNumId="7">
    <w:lvl w:ilvl="0">
      <w:start w:val="2"/>
      <w:numFmt w:val="decimal"/>
      <w:lvlText w:val="%1"/>
      <w:lvlJc w:val="start"/>
      <w:pPr>
        <w:tabs>
          <w:tab w:val="num" w:pos="405"/>
        </w:tabs>
        <w:ind w:start="405" w:hanging="405"/>
      </w:pPr>
    </w:lvl>
    <w:lvl w:ilvl="1">
      <w:start w:val="2"/>
      <w:numFmt w:val="decimal"/>
      <w:lvlText w:val="%1.%2"/>
      <w:lvlJc w:val="start"/>
      <w:pPr>
        <w:tabs>
          <w:tab w:val="num" w:pos="585"/>
        </w:tabs>
        <w:ind w:start="585" w:hanging="405"/>
      </w:pPr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720"/>
      </w:pPr>
    </w:lvl>
    <w:lvl w:ilvl="3">
      <w:start w:val="1"/>
      <w:numFmt w:val="decimal"/>
      <w:lvlText w:val="%1.%2.%3.%4"/>
      <w:lvlJc w:val="start"/>
      <w:pPr>
        <w:tabs>
          <w:tab w:val="num" w:pos="1260"/>
        </w:tabs>
        <w:ind w:start="1260" w:hanging="720"/>
      </w:pPr>
    </w:lvl>
    <w:lvl w:ilvl="4">
      <w:start w:val="1"/>
      <w:numFmt w:val="decimal"/>
      <w:lvlText w:val="%1.%2.%3.%4.%5"/>
      <w:lvlJc w:val="start"/>
      <w:pPr>
        <w:tabs>
          <w:tab w:val="num" w:pos="1800"/>
        </w:tabs>
        <w:ind w:start="1800" w:hanging="1080"/>
      </w:pPr>
    </w:lvl>
    <w:lvl w:ilvl="5">
      <w:start w:val="1"/>
      <w:numFmt w:val="decimal"/>
      <w:lvlText w:val="%1.%2.%3.%4.%5.%6"/>
      <w:lvlJc w:val="start"/>
      <w:pPr>
        <w:tabs>
          <w:tab w:val="num" w:pos="1980"/>
        </w:tabs>
        <w:ind w:start="19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2520"/>
        </w:tabs>
        <w:ind w:start="252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2700"/>
        </w:tabs>
        <w:ind w:start="270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3240"/>
        </w:tabs>
        <w:ind w:start="3240" w:hanging="1800"/>
      </w:pPr>
    </w:lvl>
  </w:abstractNum>
  <w:abstractNum w:abstractNumId="8">
    <w:lvl w:ilvl="0">
      <w:start w:val="2"/>
      <w:numFmt w:val="decimal"/>
      <w:lvlText w:val="%1"/>
      <w:lvlJc w:val="start"/>
      <w:pPr>
        <w:tabs>
          <w:tab w:val="num" w:pos="405"/>
        </w:tabs>
        <w:ind w:start="405" w:hanging="405"/>
      </w:pPr>
    </w:lvl>
    <w:lvl w:ilvl="1">
      <w:start w:val="1"/>
      <w:numFmt w:val="decimal"/>
      <w:lvlText w:val="%1.%2"/>
      <w:lvlJc w:val="start"/>
      <w:pPr>
        <w:tabs>
          <w:tab w:val="num" w:pos="405"/>
        </w:tabs>
        <w:ind w:start="405" w:hanging="405"/>
      </w:pPr>
    </w:lvl>
    <w:lvl w:ilvl="2">
      <w:start w:val="2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3"/>
      <w:numFmt w:val="decimal"/>
      <w:lvlText w:val="%1"/>
      <w:lvlJc w:val="start"/>
      <w:pPr>
        <w:tabs>
          <w:tab w:val="num" w:pos="405"/>
        </w:tabs>
        <w:ind w:start="405" w:hanging="405"/>
      </w:pPr>
    </w:lvl>
    <w:lvl w:ilvl="1">
      <w:start w:val="3"/>
      <w:numFmt w:val="decimal"/>
      <w:lvlText w:val="%1.%2"/>
      <w:lvlJc w:val="start"/>
      <w:pPr>
        <w:tabs>
          <w:tab w:val="num" w:pos="405"/>
        </w:tabs>
        <w:ind w:start="405" w:hanging="405"/>
      </w:pPr>
    </w:lvl>
    <w:lvl w:ilvl="2">
      <w:start w:val="2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18"/>
        <w:szCs w:val="18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3">
    <w:lvl w:ilvl="0">
      <w:start w:val="4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14">
    <w:lvl w:ilvl="0">
      <w:start w:val="2"/>
      <w:numFmt w:val="decimal"/>
      <w:lvlText w:val="%1"/>
      <w:lvlJc w:val="start"/>
      <w:pPr>
        <w:tabs>
          <w:tab w:val="num" w:pos="405"/>
        </w:tabs>
        <w:ind w:start="405" w:hanging="405"/>
      </w:pPr>
    </w:lvl>
    <w:lvl w:ilvl="1">
      <w:start w:val="3"/>
      <w:numFmt w:val="decimal"/>
      <w:lvlText w:val="%1.%2"/>
      <w:lvlJc w:val="start"/>
      <w:pPr>
        <w:tabs>
          <w:tab w:val="num" w:pos="405"/>
        </w:tabs>
        <w:ind w:start="405" w:hanging="405"/>
      </w:pPr>
    </w:lvl>
    <w:lvl w:ilvl="2">
      <w:start w:val="2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15">
    <w:lvl w:ilvl="0">
      <w:start w:val="1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16">
    <w:lvl w:ilvl="0">
      <w:start w:val="7"/>
      <w:numFmt w:val="decimal"/>
      <w:lvlText w:val="%1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8">
    <w:lvl w:ilvl="0">
      <w:start w:val="2"/>
      <w:numFmt w:val="decimal"/>
      <w:lvlText w:val="%1"/>
      <w:lvlJc w:val="start"/>
      <w:pPr>
        <w:tabs>
          <w:tab w:val="num" w:pos="405"/>
        </w:tabs>
        <w:ind w:start="405" w:hanging="405"/>
      </w:pPr>
    </w:lvl>
    <w:lvl w:ilvl="1">
      <w:start w:val="2"/>
      <w:numFmt w:val="decimal"/>
      <w:lvlText w:val="%1.%2"/>
      <w:lvlJc w:val="start"/>
      <w:pPr>
        <w:tabs>
          <w:tab w:val="num" w:pos="585"/>
        </w:tabs>
        <w:ind w:start="585" w:hanging="405"/>
      </w:pPr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720"/>
      </w:pPr>
    </w:lvl>
    <w:lvl w:ilvl="3">
      <w:start w:val="1"/>
      <w:numFmt w:val="decimal"/>
      <w:lvlText w:val="%1.%2.%3.%4"/>
      <w:lvlJc w:val="start"/>
      <w:pPr>
        <w:tabs>
          <w:tab w:val="num" w:pos="1260"/>
        </w:tabs>
        <w:ind w:start="1260" w:hanging="720"/>
      </w:pPr>
    </w:lvl>
    <w:lvl w:ilvl="4">
      <w:start w:val="1"/>
      <w:numFmt w:val="decimal"/>
      <w:lvlText w:val="%1.%2.%3.%4.%5"/>
      <w:lvlJc w:val="start"/>
      <w:pPr>
        <w:tabs>
          <w:tab w:val="num" w:pos="1800"/>
        </w:tabs>
        <w:ind w:start="1800" w:hanging="1080"/>
      </w:pPr>
    </w:lvl>
    <w:lvl w:ilvl="5">
      <w:start w:val="1"/>
      <w:numFmt w:val="decimal"/>
      <w:lvlText w:val="%1.%2.%3.%4.%5.%6"/>
      <w:lvlJc w:val="start"/>
      <w:pPr>
        <w:tabs>
          <w:tab w:val="num" w:pos="1980"/>
        </w:tabs>
        <w:ind w:start="198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2520"/>
        </w:tabs>
        <w:ind w:start="2520" w:hanging="1440"/>
      </w:pPr>
    </w:lvl>
    <w:lvl w:ilvl="7">
      <w:start w:val="1"/>
      <w:numFmt w:val="decimal"/>
      <w:lvlText w:val="%1.%2.%3.%4.%5.%6.%7.%8"/>
      <w:lvlJc w:val="start"/>
      <w:pPr>
        <w:tabs>
          <w:tab w:val="num" w:pos="2700"/>
        </w:tabs>
        <w:ind w:start="270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3240"/>
        </w:tabs>
        <w:ind w:start="3240" w:hanging="1800"/>
      </w:pPr>
    </w:lvl>
  </w:abstractNum>
  <w:abstractNum w:abstractNumId="19">
    <w:lvl w:ilvl="0">
      <w:start w:val="1"/>
      <w:numFmt w:val="decimal"/>
      <w:lvlText w:val="2.%1."/>
      <w:lvlJc w:val="start"/>
      <w:pPr>
        <w:tabs>
          <w:tab w:val="num" w:pos="0"/>
        </w:tabs>
        <w:ind w:start="1501" w:hanging="360"/>
      </w:pPr>
      <w:rPr>
        <w:rFonts w:ascii="Times New Roman" w:hAnsi="Times New Roman" w:eastAsia="Times New Roman" w:cs="Times New Roman"/>
        <w:i w:val="false"/>
      </w:rPr>
    </w:lvl>
    <w:lvl w:ilvl="1">
      <w:start w:val="2"/>
      <w:numFmt w:val="decimal"/>
      <w:lvlText w:val="2.%2."/>
      <w:lvlJc w:val="start"/>
      <w:pPr>
        <w:tabs>
          <w:tab w:val="num" w:pos="0"/>
        </w:tabs>
        <w:ind w:start="2221" w:hanging="360"/>
      </w:pPr>
      <w:rPr>
        <w:rFonts w:ascii="Times New Roman" w:hAnsi="Times New Roman" w:eastAsia="Times New Roman" w:cs="Times New Roman"/>
        <w:b w:val="false"/>
        <w:i w:val="fals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941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3661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81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5101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821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541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61" w:hanging="180"/>
      </w:pPr>
    </w:lvl>
  </w:abstractNum>
  <w:abstractNum w:abstractNumId="20">
    <w:lvl w:ilvl="0">
      <w:start w:val="1"/>
      <w:numFmt w:val="decimal"/>
      <w:lvlText w:val="%1"/>
      <w:lvlJc w:val="start"/>
      <w:pPr>
        <w:tabs>
          <w:tab w:val="num" w:pos="405"/>
        </w:tabs>
        <w:ind w:start="405" w:hanging="405"/>
      </w:pPr>
      <w:rPr/>
    </w:lvl>
    <w:lvl w:ilvl="1">
      <w:start w:val="2"/>
      <w:numFmt w:val="decimal"/>
      <w:lvlText w:val="%1.%2"/>
      <w:lvlJc w:val="start"/>
      <w:pPr>
        <w:tabs>
          <w:tab w:val="num" w:pos="585"/>
        </w:tabs>
        <w:ind w:start="585" w:hanging="405"/>
      </w:pPr>
      <w:rPr/>
    </w:lvl>
    <w:lvl w:ilvl="2">
      <w:start w:val="1"/>
      <w:numFmt w:val="decimal"/>
      <w:lvlText w:val="%1.%2.%3"/>
      <w:lvlJc w:val="start"/>
      <w:pPr>
        <w:tabs>
          <w:tab w:val="num" w:pos="1080"/>
        </w:tabs>
        <w:ind w:start="108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260"/>
        </w:tabs>
        <w:ind w:start="126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800"/>
        </w:tabs>
        <w:ind w:start="180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980"/>
        </w:tabs>
        <w:ind w:start="19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2520"/>
        </w:tabs>
        <w:ind w:start="252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2700"/>
        </w:tabs>
        <w:ind w:start="270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240"/>
        </w:tabs>
        <w:ind w:start="3240" w:hanging="1800"/>
      </w:pPr>
      <w:rPr/>
    </w:lvl>
  </w:abstractNum>
  <w:abstractNum w:abstractNumId="21">
    <w:lvl w:ilvl="0">
      <w:start w:val="1"/>
      <w:numFmt w:val="decimal"/>
      <w:lvlText w:val="3.4.%1"/>
      <w:lvlJc w:val="start"/>
      <w:pPr>
        <w:tabs>
          <w:tab w:val="num" w:pos="405"/>
        </w:tabs>
        <w:ind w:start="405" w:hanging="405"/>
      </w:pPr>
      <w:rPr>
        <w:i w:val="false"/>
      </w:rPr>
    </w:lvl>
    <w:lvl w:ilvl="1">
      <w:start w:val="3"/>
      <w:numFmt w:val="decimal"/>
      <w:lvlText w:val="%1.%2"/>
      <w:lvlJc w:val="start"/>
      <w:pPr>
        <w:tabs>
          <w:tab w:val="num" w:pos="405"/>
        </w:tabs>
        <w:ind w:start="405" w:hanging="405"/>
      </w:pPr>
      <w:rPr/>
    </w:lvl>
    <w:lvl w:ilvl="2">
      <w:start w:val="2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18"/>
        <w:szCs w:val="18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908"/>
      <w:jc w:val="both"/>
      <w:outlineLvl w:val="0"/>
    </w:pPr>
    <w:rPr>
      <w:rFonts w:ascii="Arial" w:hAnsi="Arial" w:cs="Arial"/>
      <w:b/>
      <w:sz w:val="2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9"/>
        <w:tab w:val="left" w:pos="426" w:leader="none"/>
      </w:tabs>
      <w:ind w:hanging="426" w:start="426" w:end="0"/>
      <w:jc w:val="both"/>
      <w:outlineLvl w:val="1"/>
    </w:pPr>
    <w:rPr>
      <w:rFonts w:ascii="Arial" w:hAnsi="Arial" w:cs="Arial"/>
      <w:b/>
      <w:sz w:val="22"/>
      <w:lang w:val="en-U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  <w:i w:val="false"/>
    </w:rPr>
  </w:style>
  <w:style w:type="character" w:styleId="WW8Num6z0">
    <w:name w:val="WW8Num6z0"/>
    <w:qFormat/>
    <w:rPr>
      <w:b w:val="false"/>
      <w:u w:val="none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2">
    <w:name w:val="WW8Num10z2"/>
    <w:qFormat/>
    <w:rPr>
      <w:sz w:val="18"/>
      <w:szCs w:val="18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eastAsia="Times New Roman" w:cs="Times New Roman"/>
      <w:i w:val="false"/>
    </w:rPr>
  </w:style>
  <w:style w:type="character" w:styleId="WW8Num20z1">
    <w:name w:val="WW8Num20z1"/>
    <w:qFormat/>
    <w:rPr>
      <w:rFonts w:ascii="Times New Roman" w:hAnsi="Times New Roman" w:eastAsia="Times New Roman" w:cs="Times New Roman"/>
      <w:b w:val="false"/>
      <w:i w:val="false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i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sz w:val="18"/>
      <w:szCs w:val="18"/>
    </w:rPr>
  </w:style>
  <w:style w:type="character" w:styleId="Style12">
    <w:name w:val="Основной шрифт абзаца"/>
    <w:qFormat/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4z0">
    <w:name w:val="WW8Num4z0"/>
    <w:qFormat/>
    <w:rPr>
      <w:b w:val="false"/>
      <w:u w:val="none"/>
    </w:rPr>
  </w:style>
  <w:style w:type="character" w:styleId="WW8Num16z0">
    <w:name w:val="WW8Num16z0"/>
    <w:qFormat/>
    <w:rPr>
      <w:b w:val="false"/>
      <w:u w:val="none"/>
    </w:rPr>
  </w:style>
  <w:style w:type="character" w:styleId="WW8Num26z2">
    <w:name w:val="WW8Num26z2"/>
    <w:qFormat/>
    <w:rPr>
      <w:sz w:val="18"/>
      <w:szCs w:val="18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1">
    <w:name w:val="Основной шрифт абзаца1"/>
    <w:qFormat/>
    <w:rPr/>
  </w:style>
  <w:style w:type="character" w:styleId="11">
    <w:name w:val="Знак примечания1"/>
    <w:qFormat/>
    <w:rPr>
      <w:sz w:val="16"/>
      <w:szCs w:val="16"/>
    </w:rPr>
  </w:style>
  <w:style w:type="character" w:styleId="PageNumber">
    <w:name w:val="page number"/>
    <w:basedOn w:val="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ind w:hanging="0" w:start="0" w:end="-766"/>
      <w:jc w:val="both"/>
    </w:pPr>
    <w:rPr>
      <w:rFonts w:ascii="Arial" w:hAnsi="Arial" w:cs="Arial"/>
      <w:sz w:val="22"/>
      <w:lang w:val="en-US"/>
    </w:rPr>
  </w:style>
  <w:style w:type="paragraph" w:styleId="List">
    <w:name w:val="List"/>
    <w:basedOn w:val="BodyText"/>
    <w:pPr/>
    <w:rPr>
      <w:rFonts w:ascii="Arial" w:hAnsi="Arial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ascii="Arial" w:hAnsi="Arial" w:cs="Mangal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14">
    <w:name w:val="Схема документа1"/>
    <w:basedOn w:val="Normal"/>
    <w:qFormat/>
    <w:pPr>
      <w:shd w:fill="000080" w:val="clear"/>
    </w:pPr>
    <w:rPr>
      <w:rFonts w:ascii="Tahoma" w:hAnsi="Tahoma" w:cs="Tahoma"/>
    </w:rPr>
  </w:style>
  <w:style w:type="paragraph" w:styleId="15">
    <w:name w:val="Текст примечания1"/>
    <w:basedOn w:val="Normal"/>
    <w:qFormat/>
    <w:pPr/>
    <w:rPr/>
  </w:style>
  <w:style w:type="paragraph" w:styleId="Style15">
    <w:name w:val="Тема примечания"/>
    <w:basedOn w:val="15"/>
    <w:next w:val="15"/>
    <w:qFormat/>
    <w:pPr/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Style16">
    <w:name w:val="Содержимое таблицы"/>
    <w:basedOn w:val="Normal"/>
    <w:qFormat/>
    <w:pPr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Содержимое врезки"/>
    <w:basedOn w:val="BodyText"/>
    <w:qFormat/>
    <w:pPr/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sPlusNonformat">
    <w:name w:val="ConsPlusNonformat"/>
    <w:qFormat/>
    <w:pPr>
      <w:widowControl w:val="false"/>
      <w:suppressAutoHyphens w:val="true"/>
      <w:autoSpaceDE w:val="false"/>
      <w:bidi w:val="0"/>
    </w:pPr>
    <w:rPr>
      <w:rFonts w:ascii="Courier New" w:hAnsi="Courier New" w:eastAsia="Arial" w:cs="Courier New"/>
      <w:color w:val="auto"/>
      <w:sz w:val="20"/>
      <w:szCs w:val="20"/>
      <w:lang w:bidi="ar-SA" w:val="ru-RU" w:eastAsia="zh-CN"/>
    </w:rPr>
  </w:style>
  <w:style w:type="paragraph" w:styleId="21">
    <w:name w:val="Основной текст 21"/>
    <w:basedOn w:val="Normal"/>
    <w:qFormat/>
    <w:pPr>
      <w:widowControl w:val="false"/>
      <w:spacing w:before="120" w:after="120"/>
      <w:jc w:val="center"/>
    </w:pPr>
    <w:rPr>
      <w:b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2012-08-13T12:21:00Z</dcterms:created>
  <dc:creator>http://dogovor-urist.ru</dc:creator>
  <dc:description/>
  <cp:keywords>транспортная экспедиция</cp:keywords>
  <dc:language>ru-RU</dc:language>
  <cp:lastModifiedBy>Station</cp:lastModifiedBy>
  <cp:lastPrinted>2011-01-26T18:10:00Z</cp:lastPrinted>
  <dcterms:modified xsi:type="dcterms:W3CDTF">2012-08-13T12:21:00Z</dcterms:modified>
  <cp:revision>2</cp:revision>
  <dc:subject/>
  <dc:title>Договор транспортно-экспедиционного обслуживания</dc:title>
</cp:coreProperties>
</file>