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/>
      </w:pPr>
      <w:r>
        <w:rPr/>
        <w:t>ДОГОВОР № _______</w:t>
      </w:r>
    </w:p>
    <w:p>
      <w:pPr>
        <w:pStyle w:val="Normal"/>
        <w:jc w:val="center"/>
        <w:rPr/>
      </w:pPr>
      <w:r>
        <w:rPr/>
        <w:t>на транспортно-экспедиционное обслуживание грузов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jc w:val="center"/>
        <w:rPr/>
      </w:pPr>
      <w:r>
        <w:rPr>
          <w:sz w:val="20"/>
          <w:szCs w:val="20"/>
        </w:rPr>
        <w:t>г.___________________                                                                                                          «__» ____________201__ г.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___________________________________________, именуемое в дальнейшем ЭКСПЕДИТОР, в лице ___________________________________________________________, действующего на основании _________, с одной стороны, и  __________________________________________________,  именуемое в дальнейшем КЛИЕНТ, в  лице ______________________________________________________, действующего на основании _____________ с другой стороны, в дальнейшем также совместно и в отдельности именуемые Стороны, заключили настоящий договор (далее - Договор) о следующем.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/>
      </w:pPr>
      <w:r>
        <w:rPr>
          <w:sz w:val="20"/>
          <w:szCs w:val="20"/>
        </w:rPr>
        <w:t>1. ПРЕДМЕТ ДОГОВОРА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1.1. Клиент поручает, а Экспедитор принимает на себя обязательства по организации всего комплекса услуг, связанных с транспортно-экспедиционным обслуживанием грузов Клиента (далее - Транспортно-экспедиционное обслуживание «ТЭО»).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1.2. Экспедитор организует и осуществляет ТЭО на основании Заявки (далее по тексту – Заявка), которая предоставляется Клиентом в письменной форме или по электронной почте в виде отсканированной копии  (возможно по факсу) не позднее 12 часов дня предшествующего дню перевозки. Заявка на ТЭО, оформленное по согласованной сторонами форме (Приложение №1), подписанное уполномоченными представителями Сторон и скрепленное печатями Сторон, будет являться неотъемлемой частью Договора.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Заявка на ТЭО содержит положения, конкретизирующие и дополняющие условия перевозки, в том числе, маршрут перевозки, наименование, объем, особые свойства перевозимого груза, сроки перевозки, стоимость груза, порядок оплаты и иные сведения, имеющие существенное значение для перевозки.  Стороны соглашаются с тем, что факсимильная копия Заявки имеет юридическую силу, которое должно быть заменено в последствии на оригинал.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1.3. Для исполнения настоящего Договора Экспедитор вправе по собственному усмотрению привлекать к работе третьих лиц (юридических и физических), в том числе имеющих необходимые лицензии, если это предусмотрено требованиями закона о лицензировании отдельных видов деятельности. Экспедитор несет ответственность за третьих лиц в соответствии с требованиями, установленными законодательством Российской</w:t>
      </w:r>
      <w:r>
        <w:rPr/>
        <w:t xml:space="preserve"> </w:t>
      </w:r>
      <w:r>
        <w:rPr>
          <w:sz w:val="20"/>
          <w:szCs w:val="20"/>
        </w:rPr>
        <w:t>Федерации.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2. ОБЩИЕ УСЛОВИЯ ДОГОВОРА</w:t>
      </w:r>
    </w:p>
    <w:p>
      <w:pPr>
        <w:pStyle w:val="Normal"/>
        <w:ind w:firstLine="426" w:end="0"/>
        <w:rPr/>
      </w:pPr>
      <w:r>
        <w:rPr>
          <w:sz w:val="20"/>
          <w:szCs w:val="20"/>
        </w:rPr>
        <w:t>2.1. К настоящему Договору применяются правила, предусмотренные законодательством РФ по отношению к обязательствам по перевозке грузов, организации перевозок грузов и транспортной экспедиции.</w:t>
      </w:r>
    </w:p>
    <w:p>
      <w:pPr>
        <w:pStyle w:val="Normal"/>
        <w:ind w:firstLine="426" w:end="0"/>
        <w:rPr/>
      </w:pPr>
      <w:r>
        <w:rPr>
          <w:sz w:val="20"/>
          <w:szCs w:val="20"/>
        </w:rPr>
        <w:t>2.2. Стоимость грузов, заявляемых к отправке, определяется исходя содержания Заявки на ТЭО. В случае если в Заявки указана только страховая сумма в отношении перевозимого груза, то такая страховая сумма является для целей настоящего Договора стоимостью перевозимого груза.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3. ПРАВА И ОБЯЗАННОСТИ СТОРОН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3.1. Экспедитор обязан: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Руководствоваться стандартными требованиями, предъявляемыми к внутренним, перевозкам грузов Гражданским Кодексом РФ, Федеральным Законом РФ «О транспортно-экспедиционной деятельности» № 87-ФЗ от 30 июня 2003 года, федеральным и местным законодательством и положениями настоящего Договора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3.1.1. Организовывать перевозку грузов в соответствии с оформленными надлежащим образом Заявками Клиента;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3.1.2. Определить количество автомашин и их типы для осуществления перевозок грузов, в зависимости от объема и характера перевозок и обеспечивать подачу их по всем пунктам погрузки в дни и часы, указанные в Заявки;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3.1.3. Проверить количество и внешнее состояние груза при его получении. При каком-либо несоответствии сообщать Клиенту;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3.1.4. Оформлять необходимые для перевозки документы, если груз отправляется со склада Экспедитора:</w:t>
      </w:r>
    </w:p>
    <w:p>
      <w:pPr>
        <w:pStyle w:val="Normal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складская накладная о выдаче груза;</w:t>
      </w:r>
    </w:p>
    <w:p>
      <w:pPr>
        <w:pStyle w:val="Normal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ТТН (Товарно-транспортные накладные);</w:t>
      </w:r>
    </w:p>
    <w:p>
      <w:pPr>
        <w:pStyle w:val="Normal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копии ГТД (Грузовая таможенная декларация) предоставляемые Клиентом);</w:t>
      </w:r>
    </w:p>
    <w:p>
      <w:pPr>
        <w:pStyle w:val="Normal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акты приема-передачи;</w:t>
      </w:r>
    </w:p>
    <w:p>
      <w:pPr>
        <w:pStyle w:val="Normal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иные документы, если их наличие предусмотрено нормативными документами;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3.1.5. Запрашивать у Клиента необходимую информацию о грузе и предполагаемых работах, если имеющаяся информация в Заявки недостаточна для выполнения Экспедитором своих обязанностей по Договору.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3.1.6. Принимать на себя ответственность за сохранность грузов с момента их принятия к перевозке от Грузоотправителя и до момента их передачи Грузополучателю;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3.1.7. При доставке груза в пункт назначения передать его по акту приема-передачи уполномоченному на то лицу Клиента или его представителю. Полномочия лица получающего груз должны быть подтверждены доверенностью на получение в установленной законом форме.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3.1.8. В случае необходимости осуществить погрузочно-разгрузочные работы своими силами и/или силами привлеченных работников на основании тарифов, согласованных сторонами. Тарифы указаны в Приложении № 2.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3.2. Экспедитор вправе: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3.2.1. Не приступать к исполнению обязанностей, предусмотренных настоящим договором, до представления Клиентом необходимых документов, а также информации о свойствах груза, об условиях его перевозки и иной информации, необходимой для исполнения Экспедитором своих обязанностей по Договору.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3.2.2. Проверять достоверность представленных Клиентом необходимых документов, а также информации о свойствах груза, об условиях его перевозки и иной информации, необходимой для исполнения Экспедитором своих обязанностей по Договору.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3.2.3. Изменять вид транспорта, маршрут перевозки груза, последовательность перевозки груза различными видами транспорта, исходя из интересов Клиента. При этом Экспедитор незамедлительно уведомляет Клиента о произведенных в соответствии с настоящим пунктом Договора изменениях.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3.2.4. Удерживать, находящийся в его распоряжении груз в случае просрочки уплаты Клиентом стоимости ТЭО и возмещения понесенных Экспедитором в интересах Клиента дополнительных расходов. В этом случае Клиент также оплачивает расходы, связанные с удержанием имущества.  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3.3. Клиент обязан: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3.3.1. Передать Экспедитору необходимые документы, а также информацию о свойствах груза, об условиях его перевозки и иную информацию, необходимую для исполнения Экспедитором своих обязанностей по Договору.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3.3.2. До прибытия автомашин под погрузку подготовить груз к перевозке, пропуска на право проезда к месту погрузки и выгрузки, а так же документы, необходимые для выполнения своих обязанностей по Договору.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3.3.3. Самостоятельно осуществлять погрузку и/или разгрузку автомашин на своих базах и складах (если в Заявки не заказаны эти услуги Экспедитору), размещать и закреплять груз в соответствии с установленными правилами погрузки выгрузки грузов, не допуская простоя автомашин более 1 (Одного) часа до начала погрузки и/или выгрузки, если обязанность по выполнению погрузочных работ Клиентом не заявлена в Заявки;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3.3.4. Передать Экспедитору груз к перевозке при предъявлении представителем последнего доверенности Экспедитора, оформленной надлежащим образом. Груз считается переданным к перевозке после принятия Экспедитором груза по местам, проверки внешнего состояния и подписания последним всех экземпляров ТТН.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3.3.5. Обеспечить подъезд автотранспорта Экспедитора к местам погрузки и выгрузки;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3.3.6. В случае если Клиент осуществляет погрузку груза на транспортные средства Экспедитора собственными силами, Клиент должен использовать необходимые для погрузки технические средства и приспособления, а также квалифицированный  и обученный персонал, способный управлять специальными техническими средствами.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3.3.7. Оплатить своевременно и в полном объеме работы, выполненные Экспедитором в соответствии с  п. 3.2. настоящего договора, а также возместить понесенные им в интересах Клиента дополнительные расходы.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3.3.8. Соблюдать общие правила приема грузов к перевозке, правила погрузки и разгрузки, оформления перевозочных документов и иные правила, установленные действующим законодательством РФ. 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3.4. Клиент вправе: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3.4.1. Требовать у Экспедитора предоставления информации о процессе перевозки груза.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3.4.2. Давать указания Экспедитору в соответствии с настоящим Договором.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4. ПОРЯДОК ПРИЕМКИ И ПЕРЕДАЧИ ГРУЗОВ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4.1. При приемке груза с целью его дальнейшей доставки представитель Экспедитора  (водитель-экспедитор) проверяет перед погрузкой количество груза по местам в соответствии с товарно-транспортной накладной, таможенной декларацией и иными документами, представленными Клиентом, наличие и состояние упаковки груза. В случае если в результате приемки груза представителями Экспедитора обнаруживаются повреждения упаковки груза, представитель экспедитора вправе потребовать устранения недостатков упаковки. В случае если недостатки упаковки Клиентом по требованию Экспедитора не устранены, сторонами составляется двусторонний акт, о составлении которого делается отметка в ТТН. В акте или/и ТТН представитель Экспедитора указывает также обо всех выявленных недостатках груза при приемке. При возможности, повреждения груза или упаковки могут фиксироваться также с помощью фотосъемки, результаты которой прилагаются к акту. Акт подписывается представителями Экспедитора, представителями Клиента, либо уполномоченными представителями организации, ответственной за передачу груза (Отправитель). Отказ от подписания акта не допускается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 xml:space="preserve">4.2.  Доставка грузов на склад, не являющийся складом Экспедитора, в том числе на склад Клиента, подтверждается соответствующими транспортными документами, подписанными представителями Клиента либо уполномоченными представителями организации, ответственной за приемку груза (Грузополучатель), в месте доставки груза. При этом, если в результате доставки была повреждена наружная упаковка груза, Экспедитор и Грузополучатель обязаны зафиксировать данный факт в ТТН и составить двусторонний акт. При возможности стороны могут произвести фотосъемку, результаты которой приложить к акту. О составлении акта указывается в ТТН.  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4.3. Доставленный на склад Экспедитора груз принимается на склад Экспедитора в соответствии условиями Договора хранения, при этом Заявка на ТЭО принимается Экспедитором (Хранителем по договору хранения) в качестве Заявки на хранение.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5. ЦЕНА И ПОРЯДОК РАСЧЕТОВ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5.1. Размер оплаты за организацию ТЭО и размер сборов за выполнение Экспедитором связанных с ТЭО услуг, определяются на основании согласованной цены.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5.2. Транспортно-экспедиционные услуги и другие, заранее согласованные и документально оформленные услуги, оплачиваются Клиентом в течение 5 (пяти) банковских дней со дня выставления счета Экспедитором либо в ином порядке, согласованном Сторонам при оформлении Заявки на конкретную перевозку.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5.3. Экспедитор выставляет Клиенту счет по каждой перевозке с приложением:  счета-фактуры;  акта об оказании услуг с указанием даты и стоимости каждой из перевозок; - оригиналов страховых полисов, если страхование имело место;  товарно-транспортных накладных с отметками Получателей.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5.4. Работы и услуги, указанные в п.1.1. настоящего Договора, считаются выполненными Экспедитором  по получении последним отметок грузополучателя в товарно-транспортных документах о доставке груза с указанием даты, времени и подписи (Ф.И.О.) лица, уполномоченного принимать грузы, заверенные печатью Получателя, либо с приложением доверенности Получателя, оформленной надлежащим образом. Клиент (грузополучатель) обязан подписывать товарно-транспортные документы, и несет ответственность за последствия правильности их оформления.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5.5. Клиент обязан возместить Экспедитору дополнительные расходы, совершенные Экспедитором при исполнении своих  обязательств по настоящему Договору, в интересах и по согласованию с Клиентом. Указанные дополнительные расходы уплачиваются Клиентом в течение 5 (Пяти) банковских дней с момента выставления Экспедитором счета, подтвержденного приложенными оригиналами расходных документов. 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6. СТРАХОВАНИЕ ГРУЗОВ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6.1.  Если в Заявки на ТЭО указано требование о страховании груза, Экспедитор заключает от имени Клиента договор страхования грузов с условием «ответственность за все риски» на полную страховую стоимость груза. Выбор страховой компании является прерогативой Клиента. Уведомление о выборе страховой компании должно быть направлено Клиентом Экспедитору письменно.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6.2. Выгодоприобретателем по договору страхования, заключенному в соответствии с условиями настоящего раздела назначается Клиент.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6.3. Сумма страховой премии, подлежащая уплате Страховщику уплачивается Экспедитором, а соответствующая сумма затрат указывается Экспедитором в счете на оплату его услуг, выставляемом в соответствии с условиями настоящего Договора и подлежит возмещению Клиентом одновременно с оплатой услуг Экспедитора.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7. СТРАХОВАНИЕ ОТВЕТСТВЕННОСТИ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7.1. Экспедитор, по своему усмотрению, вправе застраховать свою ответственность за причинение вреда грузам, перевозимым в соответствии с условиями настоящего Договора.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7.2. Выгодоприобретателем по договору страхования ответственности считается Клиент, которому действиями Экспедитора будет причинен имущественный ущерб.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7.3. Страховая премия по договору страхования ответственности Экспедитора не учитывается при расчетах между Клиентом и Экспедитором и возмещению Клиентом не подлежит.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8.ОТВЕТСТВЕННОСТЬ СТОРОН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8.1. Общие положения.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8.1.1. Стороны несут ответственность за неисполнение или ненадлежащее исполнение своих обязательств по договору в соответствии с действующим законодательством РФ.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8.1.2. Каждая из сторон должна исполнить свои обязательства надлежащим образом, оказывая всевозможное содействие другой стороне.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8.1.3. Сторона, нарушившая свои обязательства по договору, должна без промедления устранить эти нарушения.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8.1.4. Сторона, привлекающая третье лицо к исполнению своих обязательств по договору, несет перед другой стороной по настоящему договору ответственность за неисполнение или ненадлежащее исполнение обязательств в соответствии с требованиями, установленными действующим законодательством РФ и настоящим Договором.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8.1.5. Стороны освобождаются от ответственности за частичное или полное неисполнение обязательств по договору, если такое неисполнение вызвано обстоятельствами непреодолимой силы. 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8.2. Ответственность Экспедитора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8.2.1. Экспедитор несет ответственность за утрату, недостачу или повреждения (порчу) груза в соответствии действующим законодательством РФ.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8.2.2. Экспедитор возмещает Клиенту только реальный ущерб в связи с утратой, недостачей или повреждением (порчей) груза в соответствии с процедурой установленной действующим законодательством РФ. 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 xml:space="preserve">8.2.3. Экспедитор несет ответственность за виновное нарушение согласованных сторонами в Заявки сроков доставки груза в размере 0,1% от стоимости доставки груза за каждый день задержки. Настоящее условие наступает в случае получения претензии от Клиента. 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8.2.4. Сумма убытков должна указываться Клиентом в Заявки на перевозку груза перед началом процесса перевозки. В случае, если предполагаемая сумма убытков, которые может понести Клиент в результате нарушения сроков доставки может превысить пять процентов от стоимости перевозимого груза, Экспедитор вправе пересмотреть размер тарифов на организацию перевозки в рамках данной заявки в сторону их увеличения.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8.2.5. Экспедитор не несет ответственность за:</w:t>
      </w:r>
    </w:p>
    <w:p>
      <w:pPr>
        <w:pStyle w:val="Normal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состояние груза, принятого (переданного) в исправной упаковке (таре);</w:t>
      </w:r>
    </w:p>
    <w:p>
      <w:pPr>
        <w:pStyle w:val="Normal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несоблюдение срока доставки груза при ненадлежащем оформлении транспортных документов Клиентом.</w:t>
      </w:r>
    </w:p>
    <w:p>
      <w:pPr>
        <w:pStyle w:val="Normal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в случае наступления обстоятельств непреодолимой силы исключающих ответственность;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8.3. Ответственность Клиента.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8.3.1. Клиент несет ответственность за убытки причиненный Экспедитору ненадлежащим выполнением условий настоящего Договора в соответствии с действующим законодательством РФ. 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>8.3.2.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Клиент несет ответственность за нарушение сроков оплаты ТЭО, предусмотренных условиями настоящего договора, в виде уплаты неустойки в размере 0,5% от суммы задолженности за каждый день просрочки платежа.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8.3.3. Клиент несет ответственность за необоснованный отказ от выплаты Экспедитору вознаграждения и понесенных им в интересах Клиента расходов в виде уплаты неустойки в размере 10 процентов от неуплаченных сумм. 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9. ПРЕТЕНЗИИ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9.1. Претензии, возникающие по настоящему договору, должны  быть предъявлены Сторонами в  соответствии с действующим законодательством РФ.</w:t>
      </w:r>
    </w:p>
    <w:p>
      <w:pPr>
        <w:pStyle w:val="Normal"/>
        <w:ind w:firstLine="426" w:end="0"/>
        <w:jc w:val="both"/>
        <w:rPr/>
      </w:pPr>
      <w:r>
        <w:rPr>
          <w:sz w:val="20"/>
          <w:szCs w:val="20"/>
        </w:rPr>
        <w:t xml:space="preserve">9.2. Сторона, получившая претензию, обязана рассмотреть ее и ответить по существу претензии - подтвердить согласие на полное или частичное ее удовлетворение, или сообщить о полном или частичном отказе в ее удовлетворении не позднее 10 (Десять) дней с даты получения претензии. 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9.3. Датой предъявления претензии считается дата штемпеля почтового ведомства о принятии письма к отправке. Датой получения претензии является дата, указанная в квитанции-уведомлении о вручении почтового отправления адресату.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10. ФОРС – МАЖОР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10.1. При наступлении обстоятельств непреодолимой силы (пожара, эпидемий, эпизоотий, стихийных бедствий: наводнения, снегопада, разрушение дорог, в результате эрозий почвы как следствие воздействия окружающей среды; землетрясения, забастовок, Указов и Распоряжений Президента РФ, Постановлений Правительства РФ, постановлений и решений органов власти и управления федерального уровня, уровня субъектов федерации, а также органов местного самоуправления, затрудняющих или делающих невозможным выполнение договора) срок исполнения обязательств отодвигается соразмерно времени действия этих обстоятельств, если они делают невозможным выполнение  условий Договора или его части.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10.2. Экспедитор должен в течение 5-и (пяти) дней уведомить Клиента о наступлении вышеуказанных обстоятельств в письменной форме с приложением подтверждающих документов, выданных компетентными органами. Не уведомление или несвоевременное уведомление о наступлении или прекращении вышеупомянутых обстоятельств лишает Экспедитора права ссылаться на них.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10.3. Понесённые той или иной стороной в результате указанных обстоятельств убытки, в том числе упущенная выгода, второй стороной не возмещается. Если названные обстоятельства будут длиться более 3 (трех) месяцев, то одна из сторон в праве аннулировать Договор на невыполненную часть без возмещения второй стороне возможных убытков.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11. РАССМОТРЕНИЕ СПОРОВ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Все разногласия, возникающие из настоящего Договора  и/или в связи с ним, разрешаются Сторонами путем переговоров. Если  Стороны  в процессе переговоров не пришли к согласию, то спор  подлежит рассмотрению в Арбитражном суде ______________________.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12. ПРОЧИЕ УСЛОВИЯ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12.1. Настоящий  договор вступает  в силу с момента его подписания Сторонами и действует в течение одного года. Если за 30 дней до истечения срока действия настоящего договора ни одна из сторон не изъявит желания о расторжении, договор признается продленным сторонами на тот же срок и на тех же условиях. 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12.2. Все изменения и дополнения к настоящему Договору действительны лишь в  том случае,  если они  совершены в письменной форме и подписаны уполномоченными представителями Сторон.</w:t>
      </w:r>
    </w:p>
    <w:p>
      <w:pPr>
        <w:pStyle w:val="Normal"/>
        <w:ind w:firstLine="426" w:end="0"/>
        <w:jc w:val="both"/>
        <w:rPr>
          <w:sz w:val="20"/>
          <w:szCs w:val="20"/>
        </w:rPr>
      </w:pPr>
      <w:r>
        <w:rPr>
          <w:sz w:val="20"/>
          <w:szCs w:val="20"/>
        </w:rPr>
        <w:t>12.3. Все приложения и дополнения к настоящему Договору являются его неотъемлемой частью.</w:t>
      </w:r>
    </w:p>
    <w:p>
      <w:pPr>
        <w:pStyle w:val="Normal"/>
        <w:ind w:firstLine="540" w:end="0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cs="Arial" w:ascii="Arial" w:hAnsi="Arial"/>
          <w:b/>
          <w:color w:val="000000"/>
          <w:sz w:val="18"/>
          <w:szCs w:val="18"/>
        </w:rPr>
      </w:r>
      <w:r>
        <w:br w:type="page"/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АДРЕСА И БАНКОВСКИЕ РЕКВИЗИТЫ СТОРОН: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1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3"/>
        <w:gridCol w:w="5073"/>
      </w:tblGrid>
      <w:tr>
        <w:trPr/>
        <w:tc>
          <w:tcPr>
            <w:tcW w:w="5073" w:type="dxa"/>
            <w:tcBorders/>
          </w:tcPr>
          <w:p>
            <w:pPr>
              <w:pStyle w:val="Normal"/>
              <w:jc w:val="center"/>
              <w:rPr>
                <w:rStyle w:val="Emphasis"/>
                <w:sz w:val="20"/>
                <w:szCs w:val="20"/>
              </w:rPr>
            </w:pPr>
            <w:r>
              <w:rPr>
                <w:sz w:val="20"/>
                <w:szCs w:val="20"/>
              </w:rPr>
              <w:t>ЭКСПЕДИТОР</w:t>
            </w:r>
          </w:p>
        </w:tc>
        <w:tc>
          <w:tcPr>
            <w:tcW w:w="5073" w:type="dxa"/>
            <w:tcBorders/>
          </w:tcPr>
          <w:p>
            <w:pPr>
              <w:pStyle w:val="Normal"/>
              <w:jc w:val="center"/>
              <w:rPr>
                <w:rStyle w:val="Emphasis"/>
                <w:sz w:val="20"/>
                <w:szCs w:val="20"/>
              </w:rPr>
            </w:pPr>
            <w:r>
              <w:rPr>
                <w:sz w:val="20"/>
                <w:szCs w:val="20"/>
              </w:rPr>
              <w:t>КЛИЕНТ</w:t>
            </w:r>
          </w:p>
        </w:tc>
      </w:tr>
      <w:tr>
        <w:trPr>
          <w:trHeight w:val="3827" w:hRule="atLeast"/>
        </w:trPr>
        <w:tc>
          <w:tcPr>
            <w:tcW w:w="5073" w:type="dxa"/>
            <w:tcBorders/>
          </w:tcPr>
          <w:p>
            <w:pPr>
              <w:pStyle w:val="Normal"/>
              <w:snapToGrid w:val="false"/>
              <w:rPr>
                <w:rStyle w:val="Emphasis"/>
                <w:i w:val="false"/>
                <w:sz w:val="20"/>
                <w:szCs w:val="20"/>
              </w:rPr>
            </w:pPr>
            <w:r>
              <w:rPr/>
            </w:r>
          </w:p>
        </w:tc>
        <w:tc>
          <w:tcPr>
            <w:tcW w:w="5073" w:type="dxa"/>
            <w:tcBorders/>
          </w:tcPr>
          <w:p>
            <w:pPr>
              <w:pStyle w:val="Normal"/>
              <w:snapToGrid w:val="false"/>
              <w:rPr>
                <w:rStyle w:val="Emphasis"/>
                <w:i w:val="false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jc w:val="center"/>
        <w:rPr>
          <w:rStyle w:val="Emphasis"/>
          <w:sz w:val="20"/>
          <w:szCs w:val="20"/>
        </w:rPr>
      </w:pPr>
      <w:r>
        <w:rPr/>
      </w:r>
    </w:p>
    <w:p>
      <w:pPr>
        <w:pStyle w:val="Normal"/>
        <w:jc w:val="center"/>
        <w:rPr>
          <w:rStyle w:val="Emphasis"/>
          <w:rFonts w:ascii="Arial" w:hAnsi="Arial" w:cs="Arial"/>
          <w:b/>
          <w:color w:val="000000"/>
          <w:sz w:val="18"/>
          <w:szCs w:val="18"/>
        </w:rPr>
      </w:pPr>
      <w:r>
        <w:rPr/>
      </w:r>
    </w:p>
    <w:tbl>
      <w:tblPr>
        <w:tblW w:w="101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3"/>
        <w:gridCol w:w="5073"/>
      </w:tblGrid>
      <w:tr>
        <w:trPr/>
        <w:tc>
          <w:tcPr>
            <w:tcW w:w="5073" w:type="dxa"/>
            <w:tcBorders/>
          </w:tcPr>
          <w:p>
            <w:pPr>
              <w:pStyle w:val="Normal"/>
              <w:jc w:val="center"/>
              <w:rPr>
                <w:rStyle w:val="Emphasis"/>
                <w:sz w:val="20"/>
                <w:szCs w:val="20"/>
              </w:rPr>
            </w:pPr>
            <w:r>
              <w:rPr>
                <w:sz w:val="20"/>
                <w:szCs w:val="20"/>
              </w:rPr>
              <w:t>ЭКСПЕДИТОР</w:t>
            </w:r>
          </w:p>
        </w:tc>
        <w:tc>
          <w:tcPr>
            <w:tcW w:w="5073" w:type="dxa"/>
            <w:tcBorders/>
          </w:tcPr>
          <w:p>
            <w:pPr>
              <w:pStyle w:val="Normal"/>
              <w:jc w:val="center"/>
              <w:rPr>
                <w:rStyle w:val="Emphasis"/>
                <w:sz w:val="20"/>
                <w:szCs w:val="20"/>
              </w:rPr>
            </w:pPr>
            <w:r>
              <w:rPr>
                <w:sz w:val="20"/>
                <w:szCs w:val="20"/>
              </w:rPr>
              <w:t>КЛИЕНТ</w:t>
            </w:r>
          </w:p>
        </w:tc>
      </w:tr>
      <w:tr>
        <w:trPr/>
        <w:tc>
          <w:tcPr>
            <w:tcW w:w="5073" w:type="dxa"/>
            <w:tcBorders/>
          </w:tcPr>
          <w:p>
            <w:pPr>
              <w:pStyle w:val="Normal"/>
              <w:snapToGrid w:val="false"/>
              <w:jc w:val="both"/>
              <w:rPr>
                <w:rStyle w:val="Emphasis"/>
                <w:i w:val="false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Style w:val="Emphasis"/>
                <w:i w:val="false"/>
                <w:sz w:val="20"/>
                <w:szCs w:val="20"/>
              </w:rPr>
              <w:t>__________________________________</w:t>
            </w:r>
          </w:p>
          <w:p>
            <w:pPr>
              <w:pStyle w:val="Normal"/>
              <w:jc w:val="both"/>
              <w:rPr>
                <w:rStyle w:val="Emphasis"/>
                <w:i w:val="false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Style w:val="Emphasis"/>
                <w:i w:val="false"/>
                <w:sz w:val="20"/>
                <w:szCs w:val="20"/>
              </w:rPr>
              <w:t>___________________/___________________/</w:t>
            </w:r>
          </w:p>
          <w:p>
            <w:pPr>
              <w:pStyle w:val="Normal"/>
              <w:jc w:val="both"/>
              <w:rPr>
                <w:rStyle w:val="Emphasis"/>
                <w:i w:val="false"/>
                <w:sz w:val="20"/>
                <w:szCs w:val="20"/>
              </w:rPr>
            </w:pPr>
            <w:r>
              <w:rPr>
                <w:rStyle w:val="Emphasis"/>
                <w:i w:val="false"/>
                <w:sz w:val="20"/>
                <w:szCs w:val="20"/>
              </w:rPr>
              <w:t>м.п.</w:t>
            </w:r>
          </w:p>
        </w:tc>
        <w:tc>
          <w:tcPr>
            <w:tcW w:w="5073" w:type="dxa"/>
            <w:tcBorders/>
          </w:tcPr>
          <w:p>
            <w:pPr>
              <w:pStyle w:val="Normal"/>
              <w:snapToGrid w:val="false"/>
              <w:jc w:val="both"/>
              <w:rPr>
                <w:rStyle w:val="Emphasis"/>
                <w:i w:val="false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Style w:val="Emphasis"/>
                <w:i w:val="false"/>
                <w:sz w:val="20"/>
                <w:szCs w:val="20"/>
              </w:rPr>
              <w:t>__________________________________</w:t>
            </w:r>
          </w:p>
          <w:p>
            <w:pPr>
              <w:pStyle w:val="Normal"/>
              <w:jc w:val="both"/>
              <w:rPr>
                <w:rStyle w:val="Emphasis"/>
                <w:i w:val="false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>
                <w:rStyle w:val="Emphasis"/>
                <w:i w:val="false"/>
                <w:sz w:val="20"/>
                <w:szCs w:val="20"/>
              </w:rPr>
              <w:t>___________________/___________________/</w:t>
            </w:r>
          </w:p>
          <w:p>
            <w:pPr>
              <w:pStyle w:val="Normal"/>
              <w:jc w:val="both"/>
              <w:rPr>
                <w:rStyle w:val="Emphasis"/>
                <w:i w:val="false"/>
                <w:sz w:val="20"/>
                <w:szCs w:val="20"/>
              </w:rPr>
            </w:pPr>
            <w:r>
              <w:rPr>
                <w:rStyle w:val="Emphasis"/>
                <w:i w:val="false"/>
                <w:sz w:val="20"/>
                <w:szCs w:val="20"/>
              </w:rPr>
              <w:t>м.п.</w:t>
            </w:r>
          </w:p>
        </w:tc>
      </w:tr>
    </w:tbl>
    <w:p>
      <w:pPr>
        <w:pStyle w:val="Normal"/>
        <w:tabs>
          <w:tab w:val="clear" w:pos="709"/>
          <w:tab w:val="left" w:pos="10440" w:leader="none"/>
        </w:tabs>
        <w:rPr>
          <w:rStyle w:val="Emphasis"/>
          <w:b/>
          <w:i w:val="false"/>
          <w:color w:val="000000"/>
          <w:sz w:val="20"/>
          <w:szCs w:val="20"/>
        </w:rPr>
      </w:pPr>
      <w:r>
        <w:rPr/>
      </w:r>
    </w:p>
    <w:p>
      <w:pPr>
        <w:pStyle w:val="Normal"/>
        <w:tabs>
          <w:tab w:val="clear" w:pos="709"/>
          <w:tab w:val="left" w:pos="10440" w:leader="none"/>
        </w:tabs>
        <w:jc w:val="center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Normal"/>
        <w:tabs>
          <w:tab w:val="clear" w:pos="709"/>
          <w:tab w:val="left" w:pos="10440" w:leader="none"/>
        </w:tabs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tabs>
          <w:tab w:val="clear" w:pos="709"/>
          <w:tab w:val="left" w:pos="10440" w:leader="none"/>
        </w:tabs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tabs>
          <w:tab w:val="clear" w:pos="709"/>
          <w:tab w:val="left" w:pos="10440" w:leader="none"/>
        </w:tabs>
        <w:jc w:val="center"/>
        <w:rPr>
          <w:b/>
          <w:color w:val="000000"/>
        </w:rPr>
      </w:pPr>
      <w:r>
        <w:rPr>
          <w:b/>
          <w:color w:val="000000"/>
        </w:rPr>
      </w:r>
    </w:p>
    <w:sectPr>
      <w:footerReference w:type="default" r:id="rId2"/>
      <w:type w:val="nextPage"/>
      <w:pgSz w:w="11906" w:h="16838"/>
      <w:pgMar w:left="1425" w:right="550" w:gutter="0" w:header="0" w:top="1134" w:footer="5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Garamond">
    <w:charset w:val="cc" w:characterSet="windows-1251"/>
    <w:family w:val="roman"/>
    <w:pitch w:val="variable"/>
  </w:font>
  <w:font w:name="Georgia">
    <w:charset w:val="cc" w:characterSet="windows-1251"/>
    <w:family w:val="roman"/>
    <w:pitch w:val="variable"/>
  </w:font>
  <w:font w:name="Journal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rFonts w:ascii="Arial" w:hAnsi="Arial" w:cs="Arial"/>
        <w:color w:val="000000"/>
        <w:sz w:val="14"/>
        <w:szCs w:val="18"/>
      </w:rPr>
    </w:pPr>
    <w:r>
      <w:rPr>
        <w:rFonts w:cs="Arial" w:ascii="Arial" w:hAnsi="Arial"/>
        <w:color w:val="000000"/>
        <w:sz w:val="14"/>
        <w:szCs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146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14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3">
    <w:name w:val="WW8Num4z3"/>
    <w:qFormat/>
    <w:rPr>
      <w:rFonts w:ascii="Symbol" w:hAnsi="Symbol" w:cs="Symbol"/>
      <w:color w:val="000000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1">
    <w:name w:val="Основной шрифт абзаца1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Subtitle"/>
    <w:qFormat/>
    <w:pPr>
      <w:jc w:val="center"/>
    </w:pPr>
    <w:rPr>
      <w:sz w:val="28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styleId="12">
    <w:name w:val="Указатель1"/>
    <w:basedOn w:val="Normal"/>
    <w:qFormat/>
    <w:pPr>
      <w:suppressLineNumbers/>
    </w:pPr>
    <w:rPr>
      <w:rFonts w:ascii="Arial" w:hAnsi="Arial" w:cs="Tahoma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Style17"/>
    <w:next w:val="BodyText"/>
    <w:qFormat/>
    <w:pPr>
      <w:jc w:val="center"/>
    </w:pPr>
    <w:rPr>
      <w:i/>
      <w:iCs/>
    </w:rPr>
  </w:style>
  <w:style w:type="paragraph" w:styleId="Style19">
    <w:name w:val="Текст Полиса"/>
    <w:basedOn w:val="Normal"/>
    <w:qFormat/>
    <w:pPr>
      <w:tabs>
        <w:tab w:val="clear" w:pos="709"/>
        <w:tab w:val="left" w:pos="243" w:leader="none"/>
      </w:tabs>
      <w:ind w:hanging="0" w:start="-720" w:end="0"/>
      <w:jc w:val="both"/>
    </w:pPr>
    <w:rPr>
      <w:rFonts w:ascii="Garamond" w:hAnsi="Garamond" w:cs="Arial"/>
    </w:rPr>
  </w:style>
  <w:style w:type="paragraph" w:styleId="Style20">
    <w:name w:val="Заголовок полиса"/>
    <w:basedOn w:val="Style19"/>
    <w:next w:val="Style19"/>
    <w:qFormat/>
    <w:pPr/>
    <w:rPr>
      <w:rFonts w:ascii="Georgia" w:hAnsi="Georgia" w:cs="Georgia"/>
      <w:b/>
      <w:caps/>
    </w:rPr>
  </w:style>
  <w:style w:type="paragraph" w:styleId="Paragraph1">
    <w:name w:val="Paragraph 1"/>
    <w:basedOn w:val="Normal"/>
    <w:qFormat/>
    <w:pPr>
      <w:spacing w:lineRule="atLeast" w:line="360"/>
      <w:jc w:val="both"/>
    </w:pPr>
    <w:rPr>
      <w:rFonts w:ascii="Journal;Arial" w:hAnsi="Journal;Arial" w:cs="Journal;Arial"/>
      <w:sz w:val="22"/>
      <w:szCs w:val="20"/>
      <w:lang w:val="en-US"/>
    </w:rPr>
  </w:style>
  <w:style w:type="paragraph" w:styleId="Style21">
    <w:name w:val="Содержимое врезки"/>
    <w:basedOn w:val="BodyText"/>
    <w:qFormat/>
    <w:pPr/>
    <w:rPr/>
  </w:style>
  <w:style w:type="paragraph" w:styleId="Style22">
    <w:name w:val="Содержимое таблицы"/>
    <w:basedOn w:val="Normal"/>
    <w:qFormat/>
    <w:pPr>
      <w:suppressLineNumbers/>
    </w:pPr>
    <w:rPr/>
  </w:style>
  <w:style w:type="paragraph" w:styleId="Style23">
    <w:name w:val="Заголовок таблицы"/>
    <w:basedOn w:val="Style22"/>
    <w:qFormat/>
    <w:pPr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2012-08-09T14:51:00Z</dcterms:created>
  <dc:creator>http://dogovor-urist.ru</dc:creator>
  <dc:description/>
  <cp:keywords>транспортная экспедиция</cp:keywords>
  <dc:language>ru-RU</dc:language>
  <cp:lastModifiedBy>Station</cp:lastModifiedBy>
  <cp:lastPrinted>2010-09-30T14:43:00Z</cp:lastPrinted>
  <dcterms:modified xsi:type="dcterms:W3CDTF">2012-08-09T14:51:00Z</dcterms:modified>
  <cp:revision>2</cp:revision>
  <dc:subject/>
  <dc:title>Договор на транспортно-экспедиционное обслуживание грузов</dc:title>
</cp:coreProperties>
</file>