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Defeating the Boss: How Combat-Based Games Can Teach Organic Chemistry</w:t>
      </w:r>
    </w:p>
    <w:p>
      <w:pPr>
        <w:pStyle w:val="Subtitle"/>
      </w:pPr>
      <w:r>
        <w:t xml:space="preserve">Learning outcomes of the chemistry-fantasy boss framework, compared against established study techniques</w:t>
      </w:r>
    </w:p>
    <w:p>
      <w:pPr>
        <w:pStyle w:val="Heading1"/>
        <w:spacing w:after="160" w:before="320"/>
      </w:pPr>
      <w:r>
        <w:t xml:space="preserve">Abstract</w:t>
      </w:r>
    </w:p>
    <w:p>
      <w:pPr>
        <w:spacing w:after="200" w:line="300"/>
      </w:pPr>
      <w:r>
        <w:t xml:space="preserve">A recurring design in educational games asks the learner to defeat an opponent that embodies the concept being taught — a </w:t>
      </w:r>
      <w:r>
        <w:rPr>
          <w:i/>
          <w:iCs/>
        </w:rPr>
        <w:t xml:space="preserve">Dehydration Djinn</w:t>
      </w:r>
      <w:r>
        <w:t xml:space="preserve"> that must be out-predicted, an </w:t>
      </w:r>
      <w:r>
        <w:rPr>
          <w:i/>
          <w:iCs/>
        </w:rPr>
        <w:t xml:space="preserve">SN2 Assassin</w:t>
      </w:r>
      <w:r>
        <w:t xml:space="preserve"> whose attack pattern only makes sense once backside attack is understood. This paper asks what actually happens, cognitively and motivationally, when a young adult or college student learns organic chemistry this way, and how that mechanism compares with the study techniques already known to work: retrieval practice, spaced repetition, mnemonics, self-explanation, and generic gamification. The synthesis below argues that a well-built boss battle is not a novel learning mechanism so much as a delivery vehicle that can bundle several evidence-backed techniques — effortful retrieval, spaced re-encounter, dual-coded imagery, and motivational scaffolding — into a single moment of gameplay. Whether that bundling pays off depends almost entirely on one design choice: whether defeating the boss requires the player to reason chemically, or merely to click.</w:t>
      </w:r>
    </w:p>
    <w:p>
      <w:pPr>
        <w:pStyle w:val="Heading1"/>
        <w:spacing w:after="160" w:before="320"/>
      </w:pPr>
      <w:r>
        <w:t xml:space="preserve">1. Introduction</w:t>
      </w:r>
    </w:p>
    <w:p>
      <w:pPr>
        <w:spacing w:after="200" w:line="300"/>
      </w:pPr>
      <w:r>
        <w:t xml:space="preserve">A boss fight is, structurally, a test. The player has spent a level or a chapter acquiring tools, and the boss is the moment those tools are checked under pressure. Video game designers already describe this using language that will sound familiar to anyone who studies learning: telegraphed attacks that must be read correctly, patterns that must be recognized rather than guessed, and failure that teaches rather than punishes. The chemistry-fantasy design under discussion here — translating chapters of an organic chemistry textbook into a bestiary of chapter bosses such as the Alcohol Alchemist, the Phenol Phantom, or the Hydroxyl Golem — asks whether that same structure can carry academic content instead of combat skill.</w:t>
      </w:r>
    </w:p>
    <w:p>
      <w:pPr>
        <w:spacing w:after="200" w:line="300"/>
      </w:pPr>
      <w:r>
        <w:t xml:space="preserve">This paper treats that question empirically rather than rhetorically. Section 2 lays out the learning-science mechanisms that a battle against a concept-boss could plausibly activate. Section 3 reviews what the broader game-based learning literature actually finds, including its limits. Section 4 compares the boss-battle approach against the specific techniques college students already use or are told to use: rereading, mnemonics, flashcards, practice testing, self-explanation, and generic gamification. Section 5 turns those comparisons into concrete design guidance for the boss-battle format itself.</w:t>
      </w:r>
    </w:p>
    <w:p>
      <w:pPr>
        <w:pStyle w:val="Heading1"/>
        <w:spacing w:after="160" w:before="320"/>
      </w:pPr>
      <w:r>
        <w:t xml:space="preserve">2. What learning mechanism does 'defeating a boss' activate?</w:t>
      </w:r>
    </w:p>
    <w:p>
      <w:pPr>
        <w:spacing w:after="200" w:line="300"/>
      </w:pPr>
      <w:r>
        <w:t xml:space="preserve">Defeating a boss is not one mechanism; it is a container that can hold several. The educational payoff depends on which of the following are actually present in the battle design.</w:t>
      </w:r>
    </w:p>
    <w:p>
      <w:pPr>
        <w:pStyle w:val="Heading2"/>
        <w:spacing w:after="120" w:before="260"/>
      </w:pPr>
      <w:r>
        <w:t xml:space="preserve">2.1 Retrieval practice, disguised as combat</w:t>
      </w:r>
    </w:p>
    <w:p>
      <w:pPr>
        <w:spacing w:after="200" w:line="300"/>
      </w:pPr>
      <w:r>
        <w:t xml:space="preserve">The most consistently supported study technique in the cognitive-psychology literature is practice testing: effortfully pulling information out of memory rather than re-reading it. Roediger and Karpicke's classic studies showed that students who tested themselves on material retained it far better a week later than students who simply reread it, even though the rereading group felt more confident at the time. Dunlosky and colleagues' widely cited review of ten learning techniques rated practice testing and distributed (spaced) practice as the only two techniques with high utility across ages, subjects, and conditions; techniques like summarizing, highlighting, and rereading were rated low utility precisely because they don't require retrieval.</w:t>
      </w:r>
    </w:p>
    <w:p>
      <w:pPr>
        <w:spacing w:after="200" w:line="300"/>
      </w:pPr>
      <w:r>
        <w:t xml:space="preserve">A boss whose attacks can only be countered by correctly answering a mechanism question, predicting a product, or identifying a functional group is, underneath the artwork, a retrieval-practice engine. The battle forces the same effortful recall that a well-built practice quiz forces — the difference is that failure has an immediate, visible, in-fiction consequence (the player takes damage) rather than a grade written days later. That immediacy of feedback is itself part of what makes retrieval practice work; delayed or absent feedback blunts the testing effect.</w:t>
      </w:r>
    </w:p>
    <w:p>
      <w:pPr>
        <w:pStyle w:val="Heading2"/>
        <w:spacing w:after="120" w:before="260"/>
      </w:pPr>
      <w:r>
        <w:t xml:space="preserve">2.2 Boss battles as 'desirable difficulty' and rehearsed failure</w:t>
      </w:r>
    </w:p>
    <w:p>
      <w:pPr>
        <w:spacing w:after="200" w:line="300"/>
      </w:pPr>
      <w:r>
        <w:t xml:space="preserve">Game designers already articulate something close to Bjork's concept of desirable difficulty without using that phrase. Writing on boss design describes the best encounters as ones where a player dies and thinks "I'll dodge left next time," not "that was unfair" — failure that teaches rather than merely punishes. One design writer calls a boss fight rehearsed hardship: a compressed, safe rehearsal of a real difficulty, with unlimited retries and no permanent record of the failed attempts. That structure matters for a subject like organic chemistry, where research on student misconceptions shows that repeated failure in ordinary coursework damages self-efficacy and can push students out of the field, particularly around difficult topics like stereochemistry. A boss fight reframes the same missed answer as an expected step in mastering the pattern rather than as a mark against the student.</w:t>
      </w:r>
    </w:p>
    <w:p>
      <w:pPr>
        <w:spacing w:after="200" w:line="300"/>
      </w:pPr>
      <w:r>
        <w:t xml:space="preserve">A related mechanic noted in analyses of classic boss design is the 'flashing weakness': an early, easy encounter reveals a vulnerability through visible feedback rather than an instruction manual, and the player is expected to look for the analogous weakness in later, harder bosses without being told to. Applied to chemistry, this is inductive pattern-recognition training — a Resonance Wraith that visibly shifts between two forms without changing its total charge is teaching the player to look for that shift as a category, not just memorizing one fact about one molecule.</w:t>
      </w:r>
    </w:p>
    <w:p>
      <w:pPr>
        <w:pStyle w:val="Heading2"/>
        <w:spacing w:after="120" w:before="260"/>
      </w:pPr>
      <w:r>
        <w:t xml:space="preserve">2.3 Dual coding and the limits of personification</w:t>
      </w:r>
    </w:p>
    <w:p>
      <w:pPr>
        <w:spacing w:after="200" w:line="300"/>
      </w:pPr>
      <w:r>
        <w:t xml:space="preserve">Giving a chemistry concept a face and a name draws on dual coding theory, which holds that information encoded as both a verbal label and a visual image is retained better than either encoding alone, because the two are processed through partially separate channels. This is part of why a name like Phenol Phantom, paired with a specific silhouette, can be more memorable than the term 'phenol' alone.</w:t>
      </w:r>
    </w:p>
    <w:p>
      <w:pPr>
        <w:spacing w:after="200" w:line="300"/>
      </w:pPr>
      <w:r>
        <w:t xml:space="preserve">The caveat from the mnemonics literature is important: Dunlosky et al.'s review rated keyword-style mnemonics as low utility for anything beyond concrete vocabulary, because a vivid image attached to a label doesn't by itself build the relational schema a learner needs to apply the concept to a new, unfamiliar molecule. A student who can name the Dehydration Djinn on a poster but can't identify which real alcohol will undergo elimination has gained a mnemonic, not chemistry. The visual identity is a memory hook for the name; the battle mechanic is what has to carry the actual reasoning.</w:t>
      </w:r>
    </w:p>
    <w:p>
      <w:pPr>
        <w:pStyle w:val="Heading2"/>
        <w:spacing w:after="120" w:before="260"/>
      </w:pPr>
      <w:r>
        <w:t xml:space="preserve">2.4 Motivation: what gamification changes, and what it doesn't</w:t>
      </w:r>
    </w:p>
    <w:p>
      <w:pPr>
        <w:spacing w:after="200" w:line="300"/>
      </w:pPr>
      <w:r>
        <w:t xml:space="preserve">Self-determination theory frames motivation around three needs — autonomy, competence, and relatedness — and a recent meta-analysis of gamification in education found that gamified elements reliably increase students' sense of autonomy and relatedness, and boost intrinsic motivation, but have a much smaller, less reliable effect on actual competence or mastery. That finding maps directly onto the risk facing any chemistry-fantasy game: engagement and enjoyment are the part gamification is good at proving out; content mastery is not guaranteed by the same mechanics and has to be engineered separately, through the battle logic itself rather than the reward layer around it.</w:t>
      </w:r>
    </w:p>
    <w:p>
      <w:pPr>
        <w:spacing w:after="200" w:line="300"/>
      </w:pPr>
      <w:r>
        <w:t xml:space="preserve">The moment of victory over a boss is also, per game-design writing on the topic, one of the strongest sources of a felt sense of accomplishment in any game genre, and that accomplishment is what tends to make players seek out the next challenge voluntarily rather than because an assignment is due. For a subject students often approach with anxiety, converting the emotional tenor of practice from dread to anticipated challenge is a real, if motivational rather than cognitive, benefit.</w:t>
      </w:r>
    </w:p>
    <w:p>
      <w:pPr>
        <w:pStyle w:val="Heading2"/>
        <w:spacing w:after="120" w:before="260"/>
      </w:pPr>
      <w:r>
        <w:t xml:space="preserve">2.5 Confronting misconceptions directly</w:t>
      </w:r>
    </w:p>
    <w:p>
      <w:pPr>
        <w:spacing w:after="200" w:line="300"/>
      </w:pPr>
      <w:r>
        <w:t xml:space="preserve">Organic chemistry education research consistently finds that students default to memorizing surface features and reaction names rather than reasoning from structure, mechanism, and energy, and that specific misconceptions — around resonance, stereochemistry, and mechanism arrows in particular — are persistent and correlate with lower achievement and lower self-efficacy. The design recommendation in the original character-design notes, that each boss should target a specific student misconception, addresses this directly: a battle mechanic can be written so that the 'wrong' move is not merely incorrect but is the specific error the literature documents students making, so the game corrects the error at the moment it would otherwise be reinforced by guessing.</w:t>
      </w:r>
    </w:p>
    <w:p>
      <w:pPr>
        <w:pStyle w:val="Heading1"/>
        <w:spacing w:after="160" w:before="320"/>
      </w:pPr>
      <w:r>
        <w:t xml:space="preserve">3. What the broader game-based learning evidence shows</w:t>
      </w:r>
    </w:p>
    <w:p>
      <w:pPr>
        <w:spacing w:after="200" w:line="300"/>
      </w:pPr>
      <w:r>
        <w:t xml:space="preserve">Independent of this specific design, meta-analytic evidence on game-based learning is generally positive but not unconditional. A meta-analysis of 41 studies covering game-based science learning found an overall positive effect on achievement, but noted the effect was stronger for shorter interventions (between four hours and a week) than for very brief or very long ones, and stronger for younger students than for undergraduates — a caution against assuming a college-level chemistry game will show gains as large as those seen in K-12 studies. A separate meta-analysis restricted to digital STEM games found a more moderate overall effect, and explicitly noted that individual studies have found null or even negative effects on math achievement when games substitute for, rather than add retrieval and feedback to, standard review.</w:t>
      </w:r>
    </w:p>
    <w:p>
      <w:pPr>
        <w:spacing w:after="200" w:line="300"/>
      </w:pPr>
      <w:r>
        <w:t xml:space="preserve">The consistent thread across these reviews is that game-based learning helps when the game requires the same cognitive work that direct instruction would require — recall, prediction, application — and helps far less when the 'learning' is decorative around a game that is really just entertainment with facts attached. This is the same caution raised in the original design notes: the approach only works if chemistry actually affects gameplay, not just naming and artwork.</w:t>
      </w:r>
    </w:p>
    <w:p>
      <w:pPr>
        <w:pStyle w:val="Heading1"/>
        <w:spacing w:after="160" w:before="320"/>
      </w:pPr>
      <w:r>
        <w:t xml:space="preserve">4. Comparing the boss-battle format to established study techniques</w:t>
      </w:r>
    </w:p>
    <w:p>
      <w:pPr>
        <w:spacing w:after="200" w:line="300"/>
      </w:pPr>
      <w:r>
        <w:t xml:space="preserve">The table below places the proposed boss-battle design alongside the study techniques a college student is already likely to use or be told to use, drawing on Dunlosky et al.'s (2013) utility ratings and the game-based learning and gamification research above.</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1750"/>
        <w:gridCol w:w="1900"/>
        <w:gridCol w:w="1800"/>
      </w:tblGrid>
      <w:tr>
        <w:tc>
          <w:tcPr>
            <w:tcW w:type="dxa" w:w="1450"/>
            <w:shd w:fill="2F3A4A" w:val="clear"/>
            <w:tcMar>
              <w:top w:type="dxa" w:w="100"/>
              <w:left w:type="dxa" w:w="120"/>
              <w:bottom w:type="dxa" w:w="100"/>
              <w:right w:type="dxa" w:w="120"/>
            </w:tcMar>
          </w:tcPr>
          <w:p>
            <w:pPr>
              <w:spacing w:after="0" w:line="260"/>
            </w:pPr>
            <w:r>
              <w:rPr>
                <w:b/>
                <w:bCs/>
                <w:color w:val="FFFFFF"/>
                <w:sz w:val="20"/>
                <w:szCs w:val="20"/>
              </w:rPr>
              <w:t xml:space="preserve">Technique</w:t>
            </w:r>
          </w:p>
        </w:tc>
        <w:tc>
          <w:tcPr>
            <w:tcW w:type="dxa" w:w="1750"/>
            <w:shd w:fill="2F3A4A" w:val="clear"/>
            <w:tcMar>
              <w:top w:type="dxa" w:w="100"/>
              <w:left w:type="dxa" w:w="120"/>
              <w:bottom w:type="dxa" w:w="100"/>
              <w:right w:type="dxa" w:w="120"/>
            </w:tcMar>
          </w:tcPr>
          <w:p>
            <w:pPr>
              <w:spacing w:after="0" w:line="260"/>
            </w:pPr>
            <w:r>
              <w:rPr>
                <w:b/>
                <w:bCs/>
                <w:color w:val="FFFFFF"/>
                <w:sz w:val="20"/>
                <w:szCs w:val="20"/>
              </w:rPr>
              <w:t xml:space="preserve">Core mechanism</w:t>
            </w:r>
          </w:p>
        </w:tc>
        <w:tc>
          <w:tcPr>
            <w:tcW w:type="dxa" w:w="1750"/>
            <w:shd w:fill="2F3A4A" w:val="clear"/>
            <w:tcMar>
              <w:top w:type="dxa" w:w="100"/>
              <w:left w:type="dxa" w:w="120"/>
              <w:bottom w:type="dxa" w:w="100"/>
              <w:right w:type="dxa" w:w="120"/>
            </w:tcMar>
          </w:tcPr>
          <w:p>
            <w:pPr>
              <w:spacing w:after="0" w:line="260"/>
            </w:pPr>
            <w:r>
              <w:rPr>
                <w:b/>
                <w:bCs/>
                <w:color w:val="FFFFFF"/>
                <w:sz w:val="20"/>
                <w:szCs w:val="20"/>
              </w:rPr>
              <w:t xml:space="preserve">Evidence strength</w:t>
            </w:r>
          </w:p>
        </w:tc>
        <w:tc>
          <w:tcPr>
            <w:tcW w:type="dxa" w:w="1900"/>
            <w:shd w:fill="2F3A4A" w:val="clear"/>
            <w:tcMar>
              <w:top w:type="dxa" w:w="100"/>
              <w:left w:type="dxa" w:w="120"/>
              <w:bottom w:type="dxa" w:w="100"/>
              <w:right w:type="dxa" w:w="120"/>
            </w:tcMar>
          </w:tcPr>
          <w:p>
            <w:pPr>
              <w:spacing w:after="0" w:line="260"/>
            </w:pPr>
            <w:r>
              <w:rPr>
                <w:b/>
                <w:bCs/>
                <w:color w:val="FFFFFF"/>
                <w:sz w:val="20"/>
                <w:szCs w:val="20"/>
              </w:rPr>
              <w:t xml:space="preserve">Where it's strong</w:t>
            </w:r>
          </w:p>
        </w:tc>
        <w:tc>
          <w:tcPr>
            <w:tcW w:type="dxa" w:w="1800"/>
            <w:shd w:fill="2F3A4A" w:val="clear"/>
            <w:tcMar>
              <w:top w:type="dxa" w:w="100"/>
              <w:left w:type="dxa" w:w="120"/>
              <w:bottom w:type="dxa" w:w="100"/>
              <w:right w:type="dxa" w:w="120"/>
            </w:tcMar>
          </w:tcPr>
          <w:p>
            <w:pPr>
              <w:spacing w:after="0" w:line="260"/>
            </w:pPr>
            <w:r>
              <w:rPr>
                <w:b/>
                <w:bCs/>
                <w:color w:val="FFFFFF"/>
                <w:sz w:val="20"/>
                <w:szCs w:val="20"/>
              </w:rPr>
              <w:t xml:space="preserve">Where it's limited</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Rereading / highlighting</w:t>
            </w:r>
          </w:p>
        </w:tc>
        <w:tc>
          <w:tcPr>
            <w:tcW w:type="dxa" w:w="1750"/>
            <w:tcMar>
              <w:top w:type="dxa" w:w="100"/>
              <w:left w:type="dxa" w:w="120"/>
              <w:bottom w:type="dxa" w:w="100"/>
              <w:right w:type="dxa" w:w="120"/>
            </w:tcMar>
          </w:tcPr>
          <w:p>
            <w:pPr>
              <w:spacing w:after="0" w:line="260"/>
            </w:pPr>
            <w:r>
              <w:rPr>
                <w:b w:val="false"/>
                <w:bCs w:val="false"/>
                <w:sz w:val="20"/>
                <w:szCs w:val="20"/>
              </w:rPr>
              <w:t xml:space="preserve">Passive re-exposure to text</w:t>
            </w:r>
          </w:p>
        </w:tc>
        <w:tc>
          <w:tcPr>
            <w:tcW w:type="dxa" w:w="1750"/>
            <w:tcMar>
              <w:top w:type="dxa" w:w="100"/>
              <w:left w:type="dxa" w:w="120"/>
              <w:bottom w:type="dxa" w:w="100"/>
              <w:right w:type="dxa" w:w="120"/>
            </w:tcMar>
          </w:tcPr>
          <w:p>
            <w:pPr>
              <w:spacing w:after="0" w:line="260"/>
            </w:pPr>
            <w:r>
              <w:rPr>
                <w:b w:val="false"/>
                <w:bCs w:val="false"/>
                <w:sz w:val="20"/>
                <w:szCs w:val="20"/>
              </w:rPr>
              <w:t xml:space="preserve">Low utility (Dunlosky et al., 2013)</w:t>
            </w:r>
          </w:p>
        </w:tc>
        <w:tc>
          <w:tcPr>
            <w:tcW w:type="dxa" w:w="1900"/>
            <w:tcMar>
              <w:top w:type="dxa" w:w="100"/>
              <w:left w:type="dxa" w:w="120"/>
              <w:bottom w:type="dxa" w:w="100"/>
              <w:right w:type="dxa" w:w="120"/>
            </w:tcMar>
          </w:tcPr>
          <w:p>
            <w:pPr>
              <w:spacing w:after="0" w:line="260"/>
            </w:pPr>
            <w:r>
              <w:rPr>
                <w:b w:val="false"/>
                <w:bCs w:val="false"/>
                <w:sz w:val="20"/>
                <w:szCs w:val="20"/>
              </w:rPr>
              <w:t xml:space="preserve">Cheap, familiar, low effort to start</w:t>
            </w:r>
          </w:p>
        </w:tc>
        <w:tc>
          <w:tcPr>
            <w:tcW w:type="dxa" w:w="1800"/>
            <w:tcMar>
              <w:top w:type="dxa" w:w="100"/>
              <w:left w:type="dxa" w:w="120"/>
              <w:bottom w:type="dxa" w:w="100"/>
              <w:right w:type="dxa" w:w="120"/>
            </w:tcMar>
          </w:tcPr>
          <w:p>
            <w:pPr>
              <w:spacing w:after="0" w:line="260"/>
            </w:pPr>
            <w:r>
              <w:rPr>
                <w:b w:val="false"/>
                <w:bCs w:val="false"/>
                <w:sz w:val="20"/>
                <w:szCs w:val="20"/>
              </w:rPr>
              <w:t xml:space="preserve">Creates illusion of fluency without durable retention; weakest evidence of the common techniques</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Keyword mnemonics</w:t>
            </w:r>
          </w:p>
        </w:tc>
        <w:tc>
          <w:tcPr>
            <w:tcW w:type="dxa" w:w="1750"/>
            <w:tcMar>
              <w:top w:type="dxa" w:w="100"/>
              <w:left w:type="dxa" w:w="120"/>
              <w:bottom w:type="dxa" w:w="100"/>
              <w:right w:type="dxa" w:w="120"/>
            </w:tcMar>
          </w:tcPr>
          <w:p>
            <w:pPr>
              <w:spacing w:after="0" w:line="260"/>
            </w:pPr>
            <w:r>
              <w:rPr>
                <w:b w:val="false"/>
                <w:bCs w:val="false"/>
                <w:sz w:val="20"/>
                <w:szCs w:val="20"/>
              </w:rPr>
              <w:t xml:space="preserve">Link a term to a vivid image or sound-alike cue</w:t>
            </w:r>
          </w:p>
        </w:tc>
        <w:tc>
          <w:tcPr>
            <w:tcW w:type="dxa" w:w="1750"/>
            <w:tcMar>
              <w:top w:type="dxa" w:w="100"/>
              <w:left w:type="dxa" w:w="120"/>
              <w:bottom w:type="dxa" w:w="100"/>
              <w:right w:type="dxa" w:w="120"/>
            </w:tcMar>
          </w:tcPr>
          <w:p>
            <w:pPr>
              <w:spacing w:after="0" w:line="260"/>
            </w:pPr>
            <w:r>
              <w:rPr>
                <w:b w:val="false"/>
                <w:bCs w:val="false"/>
                <w:sz w:val="20"/>
                <w:szCs w:val="20"/>
              </w:rPr>
              <w:t xml:space="preserve">Low-to-moderate; works for concrete vocabulary, not schemas</w:t>
            </w:r>
          </w:p>
        </w:tc>
        <w:tc>
          <w:tcPr>
            <w:tcW w:type="dxa" w:w="1900"/>
            <w:tcMar>
              <w:top w:type="dxa" w:w="100"/>
              <w:left w:type="dxa" w:w="120"/>
              <w:bottom w:type="dxa" w:w="100"/>
              <w:right w:type="dxa" w:w="120"/>
            </w:tcMar>
          </w:tcPr>
          <w:p>
            <w:pPr>
              <w:spacing w:after="0" w:line="260"/>
            </w:pPr>
            <w:r>
              <w:rPr>
                <w:b w:val="false"/>
                <w:bCs w:val="false"/>
                <w:sz w:val="20"/>
                <w:szCs w:val="20"/>
              </w:rPr>
              <w:t xml:space="preserve">Fast recall of a label (e.g., a boss name)</w:t>
            </w:r>
          </w:p>
        </w:tc>
        <w:tc>
          <w:tcPr>
            <w:tcW w:type="dxa" w:w="1800"/>
            <w:tcMar>
              <w:top w:type="dxa" w:w="100"/>
              <w:left w:type="dxa" w:w="120"/>
              <w:bottom w:type="dxa" w:w="100"/>
              <w:right w:type="dxa" w:w="120"/>
            </w:tcMar>
          </w:tcPr>
          <w:p>
            <w:pPr>
              <w:spacing w:after="0" w:line="260"/>
            </w:pPr>
            <w:r>
              <w:rPr>
                <w:b w:val="false"/>
                <w:bCs w:val="false"/>
                <w:sz w:val="20"/>
                <w:szCs w:val="20"/>
              </w:rPr>
              <w:t xml:space="preserve">Doesn't by itself build the reasoning needed to apply a concept to a new molecule</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Practice testing / retrieval practice</w:t>
            </w:r>
          </w:p>
        </w:tc>
        <w:tc>
          <w:tcPr>
            <w:tcW w:type="dxa" w:w="1750"/>
            <w:tcMar>
              <w:top w:type="dxa" w:w="100"/>
              <w:left w:type="dxa" w:w="120"/>
              <w:bottom w:type="dxa" w:w="100"/>
              <w:right w:type="dxa" w:w="120"/>
            </w:tcMar>
          </w:tcPr>
          <w:p>
            <w:pPr>
              <w:spacing w:after="0" w:line="260"/>
            </w:pPr>
            <w:r>
              <w:rPr>
                <w:b w:val="false"/>
                <w:bCs w:val="false"/>
                <w:sz w:val="20"/>
                <w:szCs w:val="20"/>
              </w:rPr>
              <w:t xml:space="preserve">Effortful recall of information from memory, with feedback</w:t>
            </w:r>
          </w:p>
        </w:tc>
        <w:tc>
          <w:tcPr>
            <w:tcW w:type="dxa" w:w="1750"/>
            <w:tcMar>
              <w:top w:type="dxa" w:w="100"/>
              <w:left w:type="dxa" w:w="120"/>
              <w:bottom w:type="dxa" w:w="100"/>
              <w:right w:type="dxa" w:w="120"/>
            </w:tcMar>
          </w:tcPr>
          <w:p>
            <w:pPr>
              <w:spacing w:after="0" w:line="260"/>
            </w:pPr>
            <w:r>
              <w:rPr>
                <w:b w:val="false"/>
                <w:bCs w:val="false"/>
                <w:sz w:val="20"/>
                <w:szCs w:val="20"/>
              </w:rPr>
              <w:t xml:space="preserve">High utility; large, replicated effects across ages and content</w:t>
            </w:r>
          </w:p>
        </w:tc>
        <w:tc>
          <w:tcPr>
            <w:tcW w:type="dxa" w:w="1900"/>
            <w:tcMar>
              <w:top w:type="dxa" w:w="100"/>
              <w:left w:type="dxa" w:w="120"/>
              <w:bottom w:type="dxa" w:w="100"/>
              <w:right w:type="dxa" w:w="120"/>
            </w:tcMar>
          </w:tcPr>
          <w:p>
            <w:pPr>
              <w:spacing w:after="0" w:line="260"/>
            </w:pPr>
            <w:r>
              <w:rPr>
                <w:b w:val="false"/>
                <w:bCs w:val="false"/>
                <w:sz w:val="20"/>
                <w:szCs w:val="20"/>
              </w:rPr>
              <w:t xml:space="preserve">Durable, transferable retention; exposes what's not yet known</w:t>
            </w:r>
          </w:p>
        </w:tc>
        <w:tc>
          <w:tcPr>
            <w:tcW w:type="dxa" w:w="1800"/>
            <w:tcMar>
              <w:top w:type="dxa" w:w="100"/>
              <w:left w:type="dxa" w:w="120"/>
              <w:bottom w:type="dxa" w:w="100"/>
              <w:right w:type="dxa" w:w="120"/>
            </w:tcMar>
          </w:tcPr>
          <w:p>
            <w:pPr>
              <w:spacing w:after="0" w:line="260"/>
            </w:pPr>
            <w:r>
              <w:rPr>
                <w:b w:val="false"/>
                <w:bCs w:val="false"/>
                <w:sz w:val="20"/>
                <w:szCs w:val="20"/>
              </w:rPr>
              <w:t xml:space="preserve">Students underuse it voluntarily; needs to be built into the material</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Spaced / distributed practice (Anki-style flashcards)</w:t>
            </w:r>
          </w:p>
        </w:tc>
        <w:tc>
          <w:tcPr>
            <w:tcW w:type="dxa" w:w="1750"/>
            <w:tcMar>
              <w:top w:type="dxa" w:w="100"/>
              <w:left w:type="dxa" w:w="120"/>
              <w:bottom w:type="dxa" w:w="100"/>
              <w:right w:type="dxa" w:w="120"/>
            </w:tcMar>
          </w:tcPr>
          <w:p>
            <w:pPr>
              <w:spacing w:after="0" w:line="260"/>
            </w:pPr>
            <w:r>
              <w:rPr>
                <w:b w:val="false"/>
                <w:bCs w:val="false"/>
                <w:sz w:val="20"/>
                <w:szCs w:val="20"/>
              </w:rPr>
              <w:t xml:space="preserve">Same material revisited at increasing intervals</w:t>
            </w:r>
          </w:p>
        </w:tc>
        <w:tc>
          <w:tcPr>
            <w:tcW w:type="dxa" w:w="1750"/>
            <w:tcMar>
              <w:top w:type="dxa" w:w="100"/>
              <w:left w:type="dxa" w:w="120"/>
              <w:bottom w:type="dxa" w:w="100"/>
              <w:right w:type="dxa" w:w="120"/>
            </w:tcMar>
          </w:tcPr>
          <w:p>
            <w:pPr>
              <w:spacing w:after="0" w:line="260"/>
            </w:pPr>
            <w:r>
              <w:rPr>
                <w:b w:val="false"/>
                <w:bCs w:val="false"/>
                <w:sz w:val="20"/>
                <w:szCs w:val="20"/>
              </w:rPr>
              <w:t xml:space="preserve">High utility; 50–200% better retention than cramming (Cepeda et al., 2006)</w:t>
            </w:r>
          </w:p>
        </w:tc>
        <w:tc>
          <w:tcPr>
            <w:tcW w:type="dxa" w:w="1900"/>
            <w:tcMar>
              <w:top w:type="dxa" w:w="100"/>
              <w:left w:type="dxa" w:w="120"/>
              <w:bottom w:type="dxa" w:w="100"/>
              <w:right w:type="dxa" w:w="120"/>
            </w:tcMar>
          </w:tcPr>
          <w:p>
            <w:pPr>
              <w:spacing w:after="0" w:line="260"/>
            </w:pPr>
            <w:r>
              <w:rPr>
                <w:b w:val="false"/>
                <w:bCs w:val="false"/>
                <w:sz w:val="20"/>
                <w:szCs w:val="20"/>
              </w:rPr>
              <w:t xml:space="preserve">Long-term retention with modest daily time cost</w:t>
            </w:r>
          </w:p>
        </w:tc>
        <w:tc>
          <w:tcPr>
            <w:tcW w:type="dxa" w:w="1800"/>
            <w:tcMar>
              <w:top w:type="dxa" w:w="100"/>
              <w:left w:type="dxa" w:w="120"/>
              <w:bottom w:type="dxa" w:w="100"/>
              <w:right w:type="dxa" w:w="120"/>
            </w:tcMar>
          </w:tcPr>
          <w:p>
            <w:pPr>
              <w:spacing w:after="0" w:line="260"/>
            </w:pPr>
            <w:r>
              <w:rPr>
                <w:b w:val="false"/>
                <w:bCs w:val="false"/>
                <w:sz w:val="20"/>
                <w:szCs w:val="20"/>
              </w:rPr>
              <w:t xml:space="preserve">Card review is often shallow (recognition) unless cards demand real recall</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Self-explanation / elaborative interrogation</w:t>
            </w:r>
          </w:p>
        </w:tc>
        <w:tc>
          <w:tcPr>
            <w:tcW w:type="dxa" w:w="1750"/>
            <w:tcMar>
              <w:top w:type="dxa" w:w="100"/>
              <w:left w:type="dxa" w:w="120"/>
              <w:bottom w:type="dxa" w:w="100"/>
              <w:right w:type="dxa" w:w="120"/>
            </w:tcMar>
          </w:tcPr>
          <w:p>
            <w:pPr>
              <w:spacing w:after="0" w:line="260"/>
            </w:pPr>
            <w:r>
              <w:rPr>
                <w:b w:val="false"/>
                <w:bCs w:val="false"/>
                <w:sz w:val="20"/>
                <w:szCs w:val="20"/>
              </w:rPr>
              <w:t xml:space="preserve">Learner articulates why something is true or how it connects to prior knowledge</w:t>
            </w:r>
          </w:p>
        </w:tc>
        <w:tc>
          <w:tcPr>
            <w:tcW w:type="dxa" w:w="1750"/>
            <w:tcMar>
              <w:top w:type="dxa" w:w="100"/>
              <w:left w:type="dxa" w:w="120"/>
              <w:bottom w:type="dxa" w:w="100"/>
              <w:right w:type="dxa" w:w="120"/>
            </w:tcMar>
          </w:tcPr>
          <w:p>
            <w:pPr>
              <w:spacing w:after="0" w:line="260"/>
            </w:pPr>
            <w:r>
              <w:rPr>
                <w:b w:val="false"/>
                <w:bCs w:val="false"/>
                <w:sz w:val="20"/>
                <w:szCs w:val="20"/>
              </w:rPr>
              <w:t xml:space="preserve">Moderate utility; promising but less tested outside the lab</w:t>
            </w:r>
          </w:p>
        </w:tc>
        <w:tc>
          <w:tcPr>
            <w:tcW w:type="dxa" w:w="1900"/>
            <w:tcMar>
              <w:top w:type="dxa" w:w="100"/>
              <w:left w:type="dxa" w:w="120"/>
              <w:bottom w:type="dxa" w:w="100"/>
              <w:right w:type="dxa" w:w="120"/>
            </w:tcMar>
          </w:tcPr>
          <w:p>
            <w:pPr>
              <w:spacing w:after="0" w:line="260"/>
            </w:pPr>
            <w:r>
              <w:rPr>
                <w:b w:val="false"/>
                <w:bCs w:val="false"/>
                <w:sz w:val="20"/>
                <w:szCs w:val="20"/>
              </w:rPr>
              <w:t xml:space="preserve">Builds conceptual, not just factual, understanding</w:t>
            </w:r>
          </w:p>
        </w:tc>
        <w:tc>
          <w:tcPr>
            <w:tcW w:type="dxa" w:w="1800"/>
            <w:tcMar>
              <w:top w:type="dxa" w:w="100"/>
              <w:left w:type="dxa" w:w="120"/>
              <w:bottom w:type="dxa" w:w="100"/>
              <w:right w:type="dxa" w:w="120"/>
            </w:tcMar>
          </w:tcPr>
          <w:p>
            <w:pPr>
              <w:spacing w:after="0" w:line="260"/>
            </w:pPr>
            <w:r>
              <w:rPr>
                <w:b w:val="false"/>
                <w:bCs w:val="false"/>
                <w:sz w:val="20"/>
                <w:szCs w:val="20"/>
              </w:rPr>
              <w:t xml:space="preserve">Effortful to prompt well; students often give shallow explanations without guidance</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General gamification (points, badges, leaderboards)</w:t>
            </w:r>
          </w:p>
        </w:tc>
        <w:tc>
          <w:tcPr>
            <w:tcW w:type="dxa" w:w="1750"/>
            <w:tcMar>
              <w:top w:type="dxa" w:w="100"/>
              <w:left w:type="dxa" w:w="120"/>
              <w:bottom w:type="dxa" w:w="100"/>
              <w:right w:type="dxa" w:w="120"/>
            </w:tcMar>
          </w:tcPr>
          <w:p>
            <w:pPr>
              <w:spacing w:after="0" w:line="260"/>
            </w:pPr>
            <w:r>
              <w:rPr>
                <w:b w:val="false"/>
                <w:bCs w:val="false"/>
                <w:sz w:val="20"/>
                <w:szCs w:val="20"/>
              </w:rPr>
              <w:t xml:space="preserve">Extrinsic reward layered on top of ordinary tasks</w:t>
            </w:r>
          </w:p>
        </w:tc>
        <w:tc>
          <w:tcPr>
            <w:tcW w:type="dxa" w:w="1750"/>
            <w:tcMar>
              <w:top w:type="dxa" w:w="100"/>
              <w:left w:type="dxa" w:w="120"/>
              <w:bottom w:type="dxa" w:w="100"/>
              <w:right w:type="dxa" w:w="120"/>
            </w:tcMar>
          </w:tcPr>
          <w:p>
            <w:pPr>
              <w:spacing w:after="0" w:line="260"/>
            </w:pPr>
            <w:r>
              <w:rPr>
                <w:b w:val="false"/>
                <w:bCs w:val="false"/>
                <w:sz w:val="20"/>
                <w:szCs w:val="20"/>
              </w:rPr>
              <w:t xml:space="preserve">Reliably lifts motivation and engagement; weak/inconsistent effect on actual mastery</w:t>
            </w:r>
          </w:p>
        </w:tc>
        <w:tc>
          <w:tcPr>
            <w:tcW w:type="dxa" w:w="1900"/>
            <w:tcMar>
              <w:top w:type="dxa" w:w="100"/>
              <w:left w:type="dxa" w:w="120"/>
              <w:bottom w:type="dxa" w:w="100"/>
              <w:right w:type="dxa" w:w="120"/>
            </w:tcMar>
          </w:tcPr>
          <w:p>
            <w:pPr>
              <w:spacing w:after="0" w:line="260"/>
            </w:pPr>
            <w:r>
              <w:rPr>
                <w:b w:val="false"/>
                <w:bCs w:val="false"/>
                <w:sz w:val="20"/>
                <w:szCs w:val="20"/>
              </w:rPr>
              <w:t xml:space="preserve">Sustains attendance and time-on-task</w:t>
            </w:r>
          </w:p>
        </w:tc>
        <w:tc>
          <w:tcPr>
            <w:tcW w:type="dxa" w:w="1800"/>
            <w:tcMar>
              <w:top w:type="dxa" w:w="100"/>
              <w:left w:type="dxa" w:w="120"/>
              <w:bottom w:type="dxa" w:w="100"/>
              <w:right w:type="dxa" w:w="120"/>
            </w:tcMar>
          </w:tcPr>
          <w:p>
            <w:pPr>
              <w:spacing w:after="0" w:line="260"/>
            </w:pPr>
            <w:r>
              <w:rPr>
                <w:b w:val="false"/>
                <w:bCs w:val="false"/>
                <w:sz w:val="20"/>
                <w:szCs w:val="20"/>
              </w:rPr>
              <w:t xml:space="preserve">Motivation gains often outrun learning gains if content isn't embedded in the mechanic</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Chemistry-fantasy boss battles (this design)</w:t>
            </w:r>
          </w:p>
        </w:tc>
        <w:tc>
          <w:tcPr>
            <w:tcW w:type="dxa" w:w="1750"/>
            <w:tcMar>
              <w:top w:type="dxa" w:w="100"/>
              <w:left w:type="dxa" w:w="120"/>
              <w:bottom w:type="dxa" w:w="100"/>
              <w:right w:type="dxa" w:w="120"/>
            </w:tcMar>
          </w:tcPr>
          <w:p>
            <w:pPr>
              <w:spacing w:after="0" w:line="260"/>
            </w:pPr>
            <w:r>
              <w:rPr>
                <w:b w:val="false"/>
                <w:bCs w:val="false"/>
                <w:sz w:val="20"/>
                <w:szCs w:val="20"/>
              </w:rPr>
              <w:t xml:space="preserve">Defeating an opponent requires correctly retrieving, predicting, or applying the concept it embodies</w:t>
            </w:r>
          </w:p>
        </w:tc>
        <w:tc>
          <w:tcPr>
            <w:tcW w:type="dxa" w:w="1750"/>
            <w:tcMar>
              <w:top w:type="dxa" w:w="100"/>
              <w:left w:type="dxa" w:w="120"/>
              <w:bottom w:type="dxa" w:w="100"/>
              <w:right w:type="dxa" w:w="120"/>
            </w:tcMar>
          </w:tcPr>
          <w:p>
            <w:pPr>
              <w:spacing w:after="0" w:line="260"/>
            </w:pPr>
            <w:r>
              <w:rPr>
                <w:b w:val="false"/>
                <w:bCs w:val="false"/>
                <w:sz w:val="20"/>
                <w:szCs w:val="20"/>
              </w:rPr>
              <w:t xml:space="preserve">No direct studies of this exact design; built from techniques individually rated high/moderate utility</w:t>
            </w:r>
          </w:p>
        </w:tc>
        <w:tc>
          <w:tcPr>
            <w:tcW w:type="dxa" w:w="1900"/>
            <w:tcMar>
              <w:top w:type="dxa" w:w="100"/>
              <w:left w:type="dxa" w:w="120"/>
              <w:bottom w:type="dxa" w:w="100"/>
              <w:right w:type="dxa" w:w="120"/>
            </w:tcMar>
          </w:tcPr>
          <w:p>
            <w:pPr>
              <w:spacing w:after="0" w:line="260"/>
            </w:pPr>
            <w:r>
              <w:rPr>
                <w:b w:val="false"/>
                <w:bCs w:val="false"/>
                <w:sz w:val="20"/>
                <w:szCs w:val="20"/>
              </w:rPr>
              <w:t xml:space="preserve">Combines retrieval, spacing, dual-coding, and motivation in one loop, if built correctly</w:t>
            </w:r>
          </w:p>
        </w:tc>
        <w:tc>
          <w:tcPr>
            <w:tcW w:type="dxa" w:w="1800"/>
            <w:tcMar>
              <w:top w:type="dxa" w:w="100"/>
              <w:left w:type="dxa" w:w="120"/>
              <w:bottom w:type="dxa" w:w="100"/>
              <w:right w:type="dxa" w:w="120"/>
            </w:tcMar>
          </w:tcPr>
          <w:p>
            <w:pPr>
              <w:spacing w:after="0" w:line="260"/>
            </w:pPr>
            <w:r>
              <w:rPr>
                <w:b w:val="false"/>
                <w:bCs w:val="false"/>
                <w:sz w:val="20"/>
                <w:szCs w:val="20"/>
              </w:rPr>
              <w:t xml:space="preserve">Success is not automatic — depends entirely on whether the battle mechanic forces real chemical reasoning</w:t>
            </w:r>
          </w:p>
        </w:tc>
      </w:tr>
    </w:tbl>
    <w:p>
      <w:pPr>
        <w:spacing w:after="200"/>
      </w:pPr>
    </w:p>
    <w:p>
      <w:pPr>
        <w:spacing w:after="200" w:line="300"/>
      </w:pPr>
      <w:r>
        <w:t xml:space="preserve">Read as a whole, the table suggests the boss-battle format's real contribution is not a new cognitive mechanism but a way of packaging several already-validated mechanisms — retrieval, spacing, dual coding, targeted misconception correction, and motivational scaffolding — into a single activity a student will voluntarily repeat. Flashcard apps like Anki already prove that spaced retrieval works when students actually do it; their well-documented adoption problem is that self-testing feels effortful and unrewarding enough that most students avoid it in favor of rereading. A boss fight is, in effect, an attempt to solve that adoption problem by making the retrieval attempt feel like play rather than like a quiz.</w:t>
      </w:r>
    </w:p>
    <w:p>
      <w:pPr>
        <w:pStyle w:val="Heading1"/>
        <w:spacing w:after="160" w:before="320"/>
      </w:pPr>
      <w:r>
        <w:t xml:space="preserve">5. Design implications for the chemistry-fantasy framework</w:t>
      </w:r>
    </w:p>
    <w:p>
      <w:pPr>
        <w:pStyle w:val="ListParagraph"/>
        <w:numPr>
          <w:ilvl w:val="0"/>
          <w:numId w:val="2"/>
        </w:numPr>
        <w:spacing w:after="120" w:line="300"/>
      </w:pPr>
      <w:r>
        <w:t xml:space="preserve">Make the wrong answer chemically meaningful. If a battle can be won by button-mashing or trial and error without engaging the underlying concept, the retrieval-practice benefit disappears and the boss becomes pure entertainment. The 'battle mechanic' column the original design notes call for is the single most important design element in the whole framework.</w:t>
      </w:r>
    </w:p>
    <w:p>
      <w:pPr>
        <w:pStyle w:val="ListParagraph"/>
        <w:numPr>
          <w:ilvl w:val="0"/>
          <w:numId w:val="2"/>
        </w:numPr>
        <w:spacing w:after="120" w:line="300"/>
      </w:pPr>
      <w:r>
        <w:t xml:space="preserve">Bring bosses back. Spaced and interleaved practice are both high- and moderate-utility techniques, and a single encounter with the Oxidation Ogre in Chapter 6 will fade like any other one-time exposure. Rematches, mixed-boss gauntlets, or a chapter-ending mastery boss that recombines earlier concepts convert a single retrieval event into the distributed, interleaved practice the evidence favors.</w:t>
      </w:r>
    </w:p>
    <w:p>
      <w:pPr>
        <w:pStyle w:val="ListParagraph"/>
        <w:numPr>
          <w:ilvl w:val="0"/>
          <w:numId w:val="2"/>
        </w:numPr>
        <w:spacing w:after="120" w:line="300"/>
      </w:pPr>
      <w:r>
        <w:t xml:space="preserve">Treat the name and visual as the hook, not the lesson. A memorable name and silhouette earns attention and aids recall of the label; it does not, on its own, teach the underlying reasoning. The mnemonic device should point students toward the mechanic, not substitute for it.</w:t>
      </w:r>
    </w:p>
    <w:p>
      <w:pPr>
        <w:pStyle w:val="ListParagraph"/>
        <w:numPr>
          <w:ilvl w:val="0"/>
          <w:numId w:val="2"/>
        </w:numPr>
        <w:spacing w:after="120" w:line="300"/>
      </w:pPr>
      <w:r>
        <w:t xml:space="preserve">Write misconceptions into the boss's 'correct-seeming' wrong move. Because the specific errors students make in organic chemistry are well documented (for instance, treating resonance structures as if they were rapidly interconverting real molecules, or misapplying anti-periplanar geometry), a battle can be built so the tempting wrong choice is exactly the tempting wrong choice the research literature has already identified.</w:t>
      </w:r>
    </w:p>
    <w:p>
      <w:pPr>
        <w:pStyle w:val="ListParagraph"/>
        <w:numPr>
          <w:ilvl w:val="0"/>
          <w:numId w:val="2"/>
        </w:numPr>
        <w:spacing w:after="120" w:line="300"/>
      </w:pPr>
      <w:r>
        <w:t xml:space="preserve">Let the reward layer do motivational work, not academic work. Points, unlocks, and boss-defeat fanfare will reliably raise engagement and a sense of autonomy and competence-in-the-moment, per the gamification literature — but expect that layer to move enjoyment more than it moves mastery, and put the actual mastery burden on the battle mechanic itself.</w:t>
      </w:r>
    </w:p>
    <w:p>
      <w:pPr>
        <w:pStyle w:val="ListParagraph"/>
        <w:numPr>
          <w:ilvl w:val="0"/>
          <w:numId w:val="2"/>
        </w:numPr>
        <w:spacing w:after="120" w:line="300"/>
      </w:pPr>
      <w:r>
        <w:t xml:space="preserve">Give immediate, specific feedback on failure. The testing effect depends on feedback quality; a boss that simply says 'you lose' teaches less than one that shows the correct mechanism arrow or the actual major product before the retry.</w:t>
      </w:r>
    </w:p>
    <w:p>
      <w:pPr>
        <w:pStyle w:val="Heading1"/>
        <w:spacing w:after="160" w:before="320"/>
      </w:pPr>
      <w:r>
        <w:t xml:space="preserve">6. Conclusion</w:t>
      </w:r>
    </w:p>
    <w:p>
      <w:pPr>
        <w:spacing w:after="200" w:line="300"/>
      </w:pPr>
      <w:r>
        <w:t xml:space="preserve">Defeating a boss can be a genuine act of learning, but only because a well-built boss battle happens to recreate, under a fantasy skin, several things cognitive psychology already knows work: effortful retrieval instead of rereading, immediate feedback, repeated and varied exposure, and a motivational frame that makes a student want to try again after failing. None of those benefits are automatic consequences of adding characters and combat to a textbook. They have to be built into the battle mechanic on purpose, chapter by chapter, boss by boss. The chemistry-fantasy framework's own design principle — that every boss should be both a visual metaphor and a playable model of the concept it represents — is, in effect, an instruction to make sure the game is doing the cognitive work of a well-designed practice test, wrapped in something students will choose to do again.</w:t>
      </w:r>
    </w:p>
    <w:p>
      <w:pPr>
        <w:pStyle w:val="Heading1"/>
        <w:spacing w:after="160" w:before="320"/>
      </w:pPr>
      <w:r>
        <w:t xml:space="preserve">References</w:t>
      </w:r>
    </w:p>
    <w:p>
      <w:pPr>
        <w:spacing w:after="200" w:line="300"/>
      </w:pPr>
      <w:r>
        <w:t xml:space="preserve">Cepeda, N. J., Pashler, H., Vul, E., Wixted, J. T., &amp; Rohrer, D. (2006). Distributed practice in verbal recall tasks: A review and quantitative synthesis. Psychological Bulletin, 132(3), 354–380.</w:t>
      </w:r>
    </w:p>
    <w:p>
      <w:pPr>
        <w:spacing w:after="200" w:line="300"/>
      </w:pPr>
      <w:r>
        <w:t xml:space="preserve">Cruz-Ramírez de Arellano, D., &amp; Towns, M. H. (2014). Students' understanding of alkyl halide reactions in undergraduate organic chemistry. Chemistry Education Research and Practice, 15(4), 501–515.</w:t>
      </w:r>
    </w:p>
    <w:p>
      <w:pPr>
        <w:spacing w:after="200" w:line="300"/>
      </w:pPr>
      <w:r>
        <w:t xml:space="preserve">Dunlosky, J., Rawson, K. A., Marsh, E. J., Nathan, M. J., &amp; Willingham, D. T. (2013). Improving students' learning with effective learning techniques: Promising directions from cognitive and educational psychology. Psychological Science in the Public Interest, 14(1), 4–58.</w:t>
      </w:r>
    </w:p>
    <w:p>
      <w:pPr>
        <w:spacing w:after="200" w:line="300"/>
      </w:pPr>
      <w:r>
        <w:t xml:space="preserve">Kornell, N., &amp; Bjork, R. A. (2007). The promise and perils of self-regulated study. Psychonomic Bulletin &amp; Review, 14(2), 219–224.</w:t>
      </w:r>
    </w:p>
    <w:p>
      <w:pPr>
        <w:spacing w:after="200" w:line="300"/>
      </w:pPr>
      <w:r>
        <w:t xml:space="preserve">Paivio, A. (1986). Mental Representations: A Dual Coding Approach. Oxford University Press.</w:t>
      </w:r>
    </w:p>
    <w:p>
      <w:pPr>
        <w:spacing w:after="200" w:line="300"/>
      </w:pPr>
      <w:r>
        <w:t xml:space="preserve">Roediger, H. L., &amp; Karpicke, J. D. (2006). Test-enhanced learning: Taking memory tests improves long-term retention. Psychological Science, 17(3), 249–255.</w:t>
      </w:r>
    </w:p>
    <w:p>
      <w:pPr>
        <w:spacing w:after="200" w:line="300"/>
      </w:pPr>
      <w:r>
        <w:t xml:space="preserve">Journal of Chemical Education. (2026). Myths about teaching and learning organic chemistry. Journal of Chemical Education, 103(3), 1145–[page range]. https://pubs.acs.org/jceda8/article/103/3/1145/5081468</w:t>
      </w:r>
    </w:p>
    <w:p>
      <w:pPr>
        <w:spacing w:after="200" w:line="300"/>
      </w:pPr>
      <w:r>
        <w:t xml:space="preserve">Journal of Educational Computing Research. (2022). Effects of game-based learning on students' achievement in science: A meta-analysis. https://eric.ed.gov/?id=EJ1350138</w:t>
      </w:r>
    </w:p>
    <w:p>
      <w:pPr>
        <w:spacing w:after="200" w:line="300"/>
      </w:pPr>
      <w:r>
        <w:t xml:space="preserve">International Journal of STEM Education. (2022). Effects of digital game-based STEM education on students' learning achievement: A meta-analysis. https://stemeducationjournal.springeropen.com/articles/10.1186/s40594-022-00344-0</w:t>
      </w:r>
    </w:p>
    <w:p>
      <w:pPr>
        <w:spacing w:after="200" w:line="300"/>
      </w:pPr>
      <w:r>
        <w:t xml:space="preserve">Educational Technology Research and Development. (2024). Gamification enhances student intrinsic motivation, perceptions of autonomy and relatedness, but minimal impact on competency: A meta-analysis and systematic review. https://link.springer.com/article/10.1007/s11423-023-10337-7</w:t>
      </w:r>
    </w:p>
    <w:p>
      <w:pPr>
        <w:spacing w:after="200" w:line="300"/>
      </w:pPr>
      <w:r>
        <w:t xml:space="preserve">Chou, Y. (2023). Boss fight design: 5 keys to bosses players never forget. Octalysis Group / Yu-kai Chou. https://yukaichou.com/advanced-gamification/game-design-technique-14-mastering-the-boss-fight/</w:t>
      </w:r>
    </w:p>
    <w:p>
      <w:pPr>
        <w:spacing w:after="200" w:line="300"/>
      </w:pPr>
      <w:r>
        <w:t xml:space="preserve">University XP. (2020). Game mechanics for learning. https://www.universityxp.com/blog/2020/12/3/game-mechanics-for-learning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2937"/>
      <w:sz w:val="40"/>
      <w:szCs w:val="40"/>
    </w:rPr>
  </w:style>
  <w:style w:type="paragraph" w:styleId="Subtitle">
    <w:name w:val="Subtitle"/>
    <w:basedOn w:val="Normal"/>
    <w:next w:val="Normal"/>
    <w:pPr>
      <w:spacing w:after="300"/>
    </w:pPr>
    <w:rPr>
      <w:i/>
      <w:iCs/>
      <w:color w:val="4B5563"/>
      <w:sz w:val="24"/>
      <w:szCs w:val="24"/>
    </w:rPr>
  </w:style>
  <w:style w:type="paragraph" w:styleId="Heading1">
    <w:name w:val="Heading 1"/>
    <w:basedOn w:val="Normal"/>
    <w:next w:val="Normal"/>
    <w:qFormat/>
    <w:rPr>
      <w:b/>
      <w:bCs/>
      <w:color w:val="1F2937"/>
      <w:sz w:val="28"/>
      <w:szCs w:val="28"/>
    </w:rPr>
  </w:style>
  <w:style w:type="paragraph" w:styleId="Heading2">
    <w:name w:val="Heading 2"/>
    <w:basedOn w:val="Normal"/>
    <w:next w:val="Normal"/>
    <w:qFormat/>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2026-08-21T21:11:15.296Z</dcterms:created>
  <dcterms:modified xsi:type="dcterms:W3CDTF">2026-08-21T21:11:15.309Z</dcterms:modified>
</cp:coreProperties>
</file>

<file path=docProps/custom.xml><?xml version="1.0" encoding="utf-8"?>
<Properties xmlns="http://schemas.openxmlformats.org/officeDocument/2006/custom-properties" xmlns:vt="http://schemas.openxmlformats.org/officeDocument/2006/docPropsVTypes"/>
</file>