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Defeating the Boss: A Conceptual Framework for Combat-Based Learning in Organic Chemistry</w:t>
      </w:r>
    </w:p>
    <w:p>
      <w:pPr>
        <w:jc w:val="center"/>
      </w:pPr>
      <w:r>
        <w:rPr>
          <w:i/>
        </w:rPr>
        <w:t>Perspective manuscript draft for Chemistry Education Research and Practice (CERP)</w:t>
      </w:r>
    </w:p>
    <w:p>
      <w:pPr>
        <w:pStyle w:val="Heading1"/>
      </w:pPr>
      <w:r>
        <w:t>Abstract</w:t>
      </w:r>
    </w:p>
    <w:p>
      <w:r>
        <w:t>This Perspective proposes a conceptual framework for combat-based learning in organic chemistry. In the framework, disciplinary concepts are represented as opponents whose defeat requires learners to retrieve, predict, explain, or apply chemical knowledge rather than merely interact with decorative game elements. The framework integrates established learning mechanisms—retrieval practice, immediate feedback, spaced and interleaved re-encounter, dual coding, misconception-targeted practice, and motivational scaffolding—within a single gameplay loop. Organic chemistry is a useful domain for this approach because successful problem solving depends on reasoning about structure, mechanism, stereochemistry, and reactivity, while students may instead rely on surface features or memorized reaction labels. We distinguish reasoning-gated combat from generic gamification and derive six design principles for translating chemical concepts into playable encounters. Illustrative resonance, SN2, and E2 examples show how a boss can function simultaneously as a visual metaphor and a structured retrieval task. The framework has not yet been evaluated as an integrated intervention; accordingly, we conclude with testable predictions and a research agenda for examining learning, transfer, misconception correction, and voluntary practice.</w:t>
      </w:r>
    </w:p>
    <w:p>
      <w:pPr>
        <w:pStyle w:val="Heading1"/>
      </w:pPr>
      <w:r>
        <w:t>1. Introduction</w:t>
      </w:r>
    </w:p>
    <w:p>
      <w:r>
        <w:t>A boss fight is, structurally, a test. The player has acquired tools and patterns, and the encounter asks whether those tools can be selected and applied under pressure. Game designers often describe successful encounters in terms familiar to learning science: attacks are telegraphed, patterns must be recognized rather than guessed, feedback follows action quickly, and failure can inform the next attempt. This Perspective asks whether that structure can carry disciplinary learning in organic chemistry.</w:t>
      </w:r>
    </w:p>
    <w:p>
      <w:r>
        <w:t>The chemistry-fantasy approach considered here translates organic chemistry concepts into opponents—for example, an SN2 Assassin whose attack pattern is intelligible only when backside attack and inversion are understood, or a Resonance Wraith whose changing visual form cues the distinction between resonance contributors and separate molecular species. The central claim is deliberately narrower than the claim that games inherently improve learning: a boss battle bundles evidence-supported mechanisms into a coherent practice episode, without introducing any new cognitive mechanism of its own.</w:t>
      </w:r>
    </w:p>
    <w:p>
      <w:r>
        <w:t>The proposed framework therefore treats chemistry as the gatekeeper of gameplay. Defeating an opponent must require the learner to retrieve information, predict an outcome, interpret a representation, explain a mechanism, or apply a principle to a new chemical case. If success can be achieved by button-mashing, guessing, or recognizing decorative cues, the encounter may remain entertaining but loses the educational mechanism the framework is intended to operationalize.</w:t>
      </w:r>
    </w:p>
    <w:p>
      <w:pPr>
        <w:pStyle w:val="CitationFlag"/>
      </w:pPr>
      <w:r>
        <w:t>[CITATION NEEDED] Add recent chemistry-education literature establishing the need to move learners from memorized/surface strategies toward mechanistic and representational reasoning, plus literature on feedback and retrieval in chemistry learning.</w:t>
      </w:r>
    </w:p>
    <w:p>
      <w:pPr>
        <w:pStyle w:val="Heading1"/>
      </w:pPr>
      <w:r>
        <w:t>2. Challenges in Learning Organic Chemistry</w:t>
      </w:r>
    </w:p>
    <w:p>
      <w:r>
        <w:t>Organic chemistry learning is especially suited to a reasoning-gated design because competent performance involves coordinated interpretation of structure, electron movement, stereochemistry, energetics, and reaction conditions. Students can sometimes succeed on familiar exercises by recalling reaction names or matching surface features, yet struggle when the same principle appears in an unfamiliar molecule or representation. Persistent misconceptions can therefore survive repeated exposure if practice does not require learners to articulate or apply the underlying relationships.</w:t>
      </w:r>
    </w:p>
    <w:p>
      <w:r>
        <w:t>Three challenges matter most for the proposed framework. First, learners may substitute recognition for retrieval: an answer can feel familiar without being independently producible. Second, learners may treat visual representations as pictures to memorize rather than models that encode chemical relationships. Third, incorrect but plausible rules can become stable—for example, treating resonance contributors as rapidly interconverting molecular species or ignoring geometric requirements in elimination.</w:t>
      </w:r>
    </w:p>
    <w:p>
      <w:r>
        <w:t>A combat-based learning environment can be designed around these difficulties because a boss encounter can make a misconception operational. The tempting but incorrect action can be the documented misconception; the successful action can require the disciplinary distinction the learner must acquire. This makes the error itself part of the instructional design rather than an undifferentiated wrong answer.</w:t>
      </w:r>
    </w:p>
    <w:p>
      <w:pPr>
        <w:pStyle w:val="CitationFlag"/>
      </w:pPr>
      <w:r>
        <w:t>[CITATION NEEDED] Strengthen with peer-reviewed organic chemistry education studies on mechanistic reasoning, electron-pushing/curved-arrow reasoning, resonance misconceptions, stereochemistry, transfer, and students' reliance on memorization or surface features.</w:t>
      </w:r>
    </w:p>
    <w:p>
      <w:pPr>
        <w:pStyle w:val="Heading1"/>
      </w:pPr>
      <w:r>
        <w:t>3. Theoretical Foundations of Combat-Based Learning</w:t>
      </w:r>
    </w:p>
    <w:p>
      <w:pPr>
        <w:pStyle w:val="Heading2"/>
      </w:pPr>
      <w:r>
        <w:t>3.1 Retrieval practice and immediate feedback</w:t>
      </w:r>
    </w:p>
    <w:p>
      <w:r>
        <w:t>Practice testing requires learners to effortfully retrieve information rather than re-read it. Classic work on the testing effect and broad reviews of learning techniques identify retrieval practice as a high-utility strategy for durable learning. A boss whose attack can only be countered by predicting a product, identifying a functional group, choosing a valid mechanism step, or determining stereochemical outcome is therefore, beneath its artwork, a retrieval-practice engine. The game layer changes the consequence and presentation of the retrieval attempt: success produces progress, while failure produces an immediate opportunity for feedback and another attempt.</w:t>
      </w:r>
    </w:p>
    <w:p>
      <w:r>
        <w:t>Feedback is essential to prevent repeated retrieval of an incorrect rule. In the proposed framework, feedback should be chemically specific—for example, showing the correct electron movement, conformation, or product rather than only reporting that the player lost health.</w:t>
      </w:r>
    </w:p>
    <w:p>
      <w:pPr>
        <w:pStyle w:val="CitationFlag"/>
      </w:pPr>
      <w:r>
        <w:t>[CITATION NEEDED] Retain Roediger &amp; Karpicke (2006) and Dunlosky et al. (2013); add chemistry-specific retrieval/practice-testing evidence and peer-reviewed work on explanatory/corrective feedback.</w:t>
      </w:r>
    </w:p>
    <w:p>
      <w:pPr>
        <w:pStyle w:val="Heading2"/>
      </w:pPr>
      <w:r>
        <w:t>3.2 Desirable difficulty and productive failure</w:t>
      </w:r>
    </w:p>
    <w:p>
      <w:r>
        <w:t>A well-designed encounter should be difficult enough to require reconstruction or application, but interpretable enough that failure changes the learner's next decision. This resembles the idea of desirable difficulty: conditions that can make practice feel harder while supporting later retention or transfer. In game terms, failure should communicate 'what should I notice or reason about differently next time?' rather than 'the system was arbitrary.' Unlimited or low-cost retries can reframe an incorrect answer as part of iterative mastery rather than as a permanent academic penalty.</w:t>
      </w:r>
    </w:p>
    <w:p>
      <w:pPr>
        <w:pStyle w:val="CitationFlag"/>
      </w:pPr>
      <w:r>
        <w:t>[CITATION NEEDED] Replace or supplement non-peer-reviewed boss-design commentary with peer-reviewed desirable-difficulties, productive-failure, and chemistry self-efficacy literature.</w:t>
      </w:r>
    </w:p>
    <w:p>
      <w:pPr>
        <w:pStyle w:val="Heading2"/>
      </w:pPr>
      <w:r>
        <w:t>3.3 Dual coding and conceptual representation</w:t>
      </w:r>
    </w:p>
    <w:p>
      <w:r>
        <w:t>Giving a chemical concept a distinctive name, silhouette, and behavior can provide a visual retrieval cue alongside verbal and symbolic representations. Dual-coding accounts predict benefits when verbal and visual representations provide complementary routes to memory. However, personification alone does not construct a transferable chemical schema. A learner who remembers the Phenol Phantom but cannot predict phenol's behavior in a new reaction has acquired a mnemonic hook, not the targeted chemical reasoning.</w:t>
      </w:r>
    </w:p>
    <w:p>
      <w:r>
        <w:t>The framework therefore assigns visuals a constrained role: they should cue the concept and make its critical relationships salient, while the battle mechanic requires the learner to perform the reasoning.</w:t>
      </w:r>
    </w:p>
    <w:p>
      <w:pPr>
        <w:pStyle w:val="CitationFlag"/>
      </w:pPr>
      <w:r>
        <w:t>[CITATION NEEDED] Retain Paivio (1986); add contemporary peer-reviewed work on multiple representations/visualization in chemistry learning and avoid implying that dual coding alone guarantees conceptual transfer.</w:t>
      </w:r>
    </w:p>
    <w:p>
      <w:pPr>
        <w:pStyle w:val="Heading2"/>
      </w:pPr>
      <w:r>
        <w:t>3.4 Motivation and self-determination</w:t>
      </w:r>
    </w:p>
    <w:p>
      <w:r>
        <w:t>Gamification research suggests that game elements can increase engagement and aspects of motivation more reliably than they increase disciplinary mastery. This distinction is central to combat-based learning. Autonomy, progression, narrative, challenge, and visible accomplishment may make learners more willing to continue practicing, but the academic benefit must still be carried by the chemistry task.</w:t>
      </w:r>
    </w:p>
    <w:p>
      <w:r>
        <w:t>The reward layer should therefore do motivational work rather than academic work. Points, unlocks, animations, and victory sequences can reinforce persistence; they should not allow a learner to bypass the reasoning required for mastery.</w:t>
      </w:r>
    </w:p>
    <w:p>
      <w:pPr>
        <w:pStyle w:val="CitationFlag"/>
      </w:pPr>
      <w:r>
        <w:t>[CITATION NEEDED] Verify and cite the current meta-analysis on gamification, autonomy/relatedness/intrinsic motivation, and add game-based learning evidence relevant to higher education/STEM.</w:t>
      </w:r>
    </w:p>
    <w:p>
      <w:pPr>
        <w:pStyle w:val="Heading2"/>
      </w:pPr>
      <w:r>
        <w:t>3.5 Misconception-targeted practice</w:t>
      </w:r>
    </w:p>
    <w:p>
      <w:r>
        <w:t>Organic chemistry misconceptions are not random errors. Many are systematic, plausible interpretations that recur across learners. That makes them well suited to encounter design. A distractor or combat action can instantiate the misconception itself, allowing feedback to contrast the learner's rule with the chemically appropriate one at the moment the misconception is expressed.</w:t>
      </w:r>
    </w:p>
    <w:p>
      <w:pPr>
        <w:pStyle w:val="CitationFlag"/>
      </w:pPr>
      <w:r>
        <w:t>[CITATION NEEDED] Add primary chemistry-education studies documenting the specific misconceptions used in the examples; avoid generalizing beyond the evidence for each concept.</w:t>
      </w:r>
    </w:p>
    <w:p>
      <w:pPr>
        <w:pStyle w:val="Heading1"/>
      </w:pPr>
      <w:r>
        <w:t>4. A Combat-Based Learning Framework for Organic Chemistry</w:t>
      </w:r>
    </w:p>
    <w:p>
      <w:r>
        <w:t>The framework is a sequence linking a disciplinary learning objective to repeated, feedback-rich gameplay. Its purpose is not to replace direct instruction, worked examples, laboratory experience, or conventional problem solving. Rather, it specifies how evidence-based practice can be embedded in an interactive encounter that learners may be motivated to revisit.</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tcPr>
          <w:p>
            <w:r>
              <w:t>Framework stage</w:t>
            </w:r>
          </w:p>
        </w:tc>
        <w:tc>
          <w:tcPr>
            <w:tcW w:type="dxa" w:w="3264"/>
            <w:shd w:fill="D9EAF7"/>
          </w:tcPr>
          <w:p>
            <w:r>
              <w:t>Instructional function</w:t>
            </w:r>
          </w:p>
        </w:tc>
        <w:tc>
          <w:tcPr>
            <w:tcW w:type="dxa" w:w="3264"/>
            <w:shd w:fill="D9EAF7"/>
          </w:tcPr>
          <w:p>
            <w:r>
              <w:t>Example implementation</w:t>
            </w:r>
          </w:p>
        </w:tc>
      </w:tr>
      <w:tr>
        <w:tc>
          <w:tcPr>
            <w:tcW w:type="dxa" w:w="3264"/>
            <w:vAlign w:val="top"/>
          </w:tcPr>
          <w:p>
            <w:r>
              <w:t>1. Learning objective</w:t>
            </w:r>
          </w:p>
        </w:tc>
        <w:tc>
          <w:tcPr>
            <w:tcW w:type="dxa" w:w="3264"/>
            <w:vAlign w:val="top"/>
          </w:tcPr>
          <w:p>
            <w:r>
              <w:t>Specify the chemical reasoning to be learned.</w:t>
            </w:r>
          </w:p>
        </w:tc>
        <w:tc>
          <w:tcPr>
            <w:tcW w:type="dxa" w:w="3264"/>
            <w:vAlign w:val="top"/>
          </w:tcPr>
          <w:p>
            <w:r>
              <w:t>Predict stereochemical outcome of an SN2 reaction.</w:t>
            </w:r>
          </w:p>
        </w:tc>
      </w:tr>
      <w:tr>
        <w:tc>
          <w:tcPr>
            <w:tcW w:type="dxa" w:w="3264"/>
            <w:vAlign w:val="top"/>
          </w:tcPr>
          <w:p>
            <w:r>
              <w:t>2. Target misconception</w:t>
            </w:r>
          </w:p>
        </w:tc>
        <w:tc>
          <w:tcPr>
            <w:tcW w:type="dxa" w:w="3264"/>
            <w:vAlign w:val="top"/>
          </w:tcPr>
          <w:p>
            <w:r>
              <w:t>Identify a plausible error the encounter should expose.</w:t>
            </w:r>
          </w:p>
        </w:tc>
        <w:tc>
          <w:tcPr>
            <w:tcW w:type="dxa" w:w="3264"/>
            <w:vAlign w:val="top"/>
          </w:tcPr>
          <w:p>
            <w:r>
              <w:t>Retention instead of inversion; front-side attack.</w:t>
            </w:r>
          </w:p>
        </w:tc>
      </w:tr>
      <w:tr>
        <w:tc>
          <w:tcPr>
            <w:tcW w:type="dxa" w:w="3264"/>
            <w:vAlign w:val="top"/>
          </w:tcPr>
          <w:p>
            <w:r>
              <w:t>3. Boss representation</w:t>
            </w:r>
          </w:p>
        </w:tc>
        <w:tc>
          <w:tcPr>
            <w:tcW w:type="dxa" w:w="3264"/>
            <w:vAlign w:val="top"/>
          </w:tcPr>
          <w:p>
            <w:r>
              <w:t>Create a memorable visual/behavioral metaphor without substituting for content.</w:t>
            </w:r>
          </w:p>
        </w:tc>
        <w:tc>
          <w:tcPr>
            <w:tcW w:type="dxa" w:w="3264"/>
            <w:vAlign w:val="top"/>
          </w:tcPr>
          <w:p>
            <w:r>
              <w:t>SN2 Assassin attacks from the opposite side of the leaving group.</w:t>
            </w:r>
          </w:p>
        </w:tc>
      </w:tr>
      <w:tr>
        <w:tc>
          <w:tcPr>
            <w:tcW w:type="dxa" w:w="3264"/>
            <w:vAlign w:val="top"/>
          </w:tcPr>
          <w:p>
            <w:r>
              <w:t>4. Reasoning-gated challenge</w:t>
            </w:r>
          </w:p>
        </w:tc>
        <w:tc>
          <w:tcPr>
            <w:tcW w:type="dxa" w:w="3264"/>
            <w:vAlign w:val="top"/>
          </w:tcPr>
          <w:p>
            <w:r>
              <w:t>Require retrieval, prediction, explanation, or application.</w:t>
            </w:r>
          </w:p>
        </w:tc>
        <w:tc>
          <w:tcPr>
            <w:tcW w:type="dxa" w:w="3264"/>
            <w:vAlign w:val="top"/>
          </w:tcPr>
          <w:p>
            <w:r>
              <w:t>Choose attack trajectory and product stereochemistry.</w:t>
            </w:r>
          </w:p>
        </w:tc>
      </w:tr>
      <w:tr>
        <w:tc>
          <w:tcPr>
            <w:tcW w:type="dxa" w:w="3264"/>
            <w:vAlign w:val="top"/>
          </w:tcPr>
          <w:p>
            <w:r>
              <w:t>5. Consequential feedback</w:t>
            </w:r>
          </w:p>
        </w:tc>
        <w:tc>
          <w:tcPr>
            <w:tcW w:type="dxa" w:w="3264"/>
            <w:vAlign w:val="top"/>
          </w:tcPr>
          <w:p>
            <w:r>
              <w:t>Make the result visible and chemically explanatory.</w:t>
            </w:r>
          </w:p>
        </w:tc>
        <w:tc>
          <w:tcPr>
            <w:tcW w:type="dxa" w:w="3264"/>
            <w:vAlign w:val="top"/>
          </w:tcPr>
          <w:p>
            <w:r>
              <w:t>Incorrect trajectory misses; feedback displays backside attack and inversion.</w:t>
            </w:r>
          </w:p>
        </w:tc>
      </w:tr>
      <w:tr>
        <w:tc>
          <w:tcPr>
            <w:tcW w:type="dxa" w:w="3264"/>
            <w:vAlign w:val="top"/>
          </w:tcPr>
          <w:p>
            <w:r>
              <w:t>6. Spaced re-encounter</w:t>
            </w:r>
          </w:p>
        </w:tc>
        <w:tc>
          <w:tcPr>
            <w:tcW w:type="dxa" w:w="3264"/>
            <w:vAlign w:val="top"/>
          </w:tcPr>
          <w:p>
            <w:r>
              <w:t>Revisit the principle in a changed context.</w:t>
            </w:r>
          </w:p>
        </w:tc>
        <w:tc>
          <w:tcPr>
            <w:tcW w:type="dxa" w:w="3264"/>
            <w:vAlign w:val="top"/>
          </w:tcPr>
          <w:p>
            <w:r>
              <w:t>New substrate, nucleophile, representation, or mixed-boss encounter.</w:t>
            </w:r>
          </w:p>
        </w:tc>
      </w:tr>
      <w:tr>
        <w:tc>
          <w:tcPr>
            <w:tcW w:type="dxa" w:w="3264"/>
            <w:vAlign w:val="top"/>
          </w:tcPr>
          <w:p>
            <w:r>
              <w:t>7. Transfer</w:t>
            </w:r>
          </w:p>
        </w:tc>
        <w:tc>
          <w:tcPr>
            <w:tcW w:type="dxa" w:w="3264"/>
            <w:vAlign w:val="top"/>
          </w:tcPr>
          <w:p>
            <w:r>
              <w:t>Require the principle in an unfamiliar case.</w:t>
            </w:r>
          </w:p>
        </w:tc>
        <w:tc>
          <w:tcPr>
            <w:tcW w:type="dxa" w:w="3264"/>
            <w:vAlign w:val="top"/>
          </w:tcPr>
          <w:p>
            <w:r>
              <w:t>Apply SN2 reasoning to a molecule not used in the initial encounter.</w:t>
            </w:r>
          </w:p>
        </w:tc>
      </w:tr>
    </w:tbl>
    <w:p/>
    <w:p>
      <w:r>
        <w:t>Figure 1 should visualize this sequence as a loop rather than a linear level progression: learning objective → target misconception → boss representation → chemical reasoning challenge → learner response → explanatory feedback → retry/progress → spaced re-encounter → transfer. The loop is the central abstraction of the Perspective because it distinguishes combat-based learning from adding points or fantasy artwork to conventional questions.</w:t>
      </w:r>
    </w:p>
    <w:p>
      <w:pPr>
        <w:pStyle w:val="CitationFlag"/>
      </w:pPr>
      <w:r>
        <w:t>[CITATION NEEDED] Figure 1 is an author-proposed conceptual synthesis. Cite the learning-science and chemistry-education evidence supporting each component in the surrounding text.</w:t>
      </w:r>
    </w:p>
    <w:p>
      <w:pPr>
        <w:pStyle w:val="Heading1"/>
      </w:pPr>
      <w:r>
        <w:t>5. Translating Chemistry Concepts into Boss Encounters</w:t>
      </w:r>
    </w:p>
    <w:p>
      <w:r>
        <w:t>The following examples are illustrative design cases, not empirical demonstrations of effectiveness. Their purpose is to show how a chemical concept, a documented misconception, and a gameplay consequence can be aligned.</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fill="E7F2E7"/>
          </w:tcPr>
          <w:p>
            <w:r>
              <w:t>Concept</w:t>
            </w:r>
          </w:p>
        </w:tc>
        <w:tc>
          <w:tcPr>
            <w:tcW w:type="dxa" w:w="1632"/>
            <w:shd w:fill="E7F2E7"/>
          </w:tcPr>
          <w:p>
            <w:r>
              <w:t>Boss metaphor</w:t>
            </w:r>
          </w:p>
        </w:tc>
        <w:tc>
          <w:tcPr>
            <w:tcW w:type="dxa" w:w="1632"/>
            <w:shd w:fill="E7F2E7"/>
          </w:tcPr>
          <w:p>
            <w:r>
              <w:t>Target misconception</w:t>
            </w:r>
          </w:p>
        </w:tc>
        <w:tc>
          <w:tcPr>
            <w:tcW w:type="dxa" w:w="1632"/>
            <w:shd w:fill="E7F2E7"/>
          </w:tcPr>
          <w:p>
            <w:r>
              <w:t>Reasoning gate</w:t>
            </w:r>
          </w:p>
        </w:tc>
        <w:tc>
          <w:tcPr>
            <w:tcW w:type="dxa" w:w="1632"/>
            <w:shd w:fill="E7F2E7"/>
          </w:tcPr>
          <w:p>
            <w:r>
              <w:t>Chemically meaningful feedback</w:t>
            </w:r>
          </w:p>
        </w:tc>
        <w:tc>
          <w:tcPr>
            <w:tcW w:type="dxa" w:w="1632"/>
            <w:shd w:fill="E7F2E7"/>
          </w:tcPr>
          <w:p>
            <w:r>
              <w:t>Re-encounter</w:t>
            </w:r>
          </w:p>
        </w:tc>
      </w:tr>
      <w:tr>
        <w:tc>
          <w:tcPr>
            <w:tcW w:type="dxa" w:w="1632"/>
          </w:tcPr>
          <w:p>
            <w:r>
              <w:t>Resonance</w:t>
            </w:r>
          </w:p>
        </w:tc>
        <w:tc>
          <w:tcPr>
            <w:tcW w:type="dxa" w:w="1632"/>
          </w:tcPr>
          <w:p>
            <w:r>
              <w:t>Resonance Wraith</w:t>
            </w:r>
          </w:p>
        </w:tc>
        <w:tc>
          <w:tcPr>
            <w:tcW w:type="dxa" w:w="1632"/>
          </w:tcPr>
          <w:p>
            <w:r>
              <w:t>Contributors treated as separate rapidly interconverting molecules</w:t>
            </w:r>
          </w:p>
        </w:tc>
        <w:tc>
          <w:tcPr>
            <w:tcW w:type="dxa" w:w="1632"/>
          </w:tcPr>
          <w:p>
            <w:r>
              <w:t>Identify valid contributors and permitted electron movement</w:t>
            </w:r>
          </w:p>
        </w:tc>
        <w:tc>
          <w:tcPr>
            <w:tcW w:type="dxa" w:w="1632"/>
          </w:tcPr>
          <w:p>
            <w:r>
              <w:t>Show what moves, what does not move, and why net charge/connectivity constraints matter</w:t>
            </w:r>
          </w:p>
        </w:tc>
        <w:tc>
          <w:tcPr>
            <w:tcW w:type="dxa" w:w="1632"/>
          </w:tcPr>
          <w:p>
            <w:r>
              <w:t>Different resonance system; rank contributors or predict consequence</w:t>
            </w:r>
          </w:p>
        </w:tc>
      </w:tr>
      <w:tr>
        <w:tc>
          <w:tcPr>
            <w:tcW w:type="dxa" w:w="1632"/>
          </w:tcPr>
          <w:p>
            <w:r>
              <w:t>SN2</w:t>
            </w:r>
          </w:p>
        </w:tc>
        <w:tc>
          <w:tcPr>
            <w:tcW w:type="dxa" w:w="1632"/>
          </w:tcPr>
          <w:p>
            <w:r>
              <w:t>SN2 Assassin</w:t>
            </w:r>
          </w:p>
        </w:tc>
        <w:tc>
          <w:tcPr>
            <w:tcW w:type="dxa" w:w="1632"/>
          </w:tcPr>
          <w:p>
            <w:r>
              <w:t>Backside attack/inversion not connected to three-dimensional geometry</w:t>
            </w:r>
          </w:p>
        </w:tc>
        <w:tc>
          <w:tcPr>
            <w:tcW w:type="dxa" w:w="1632"/>
          </w:tcPr>
          <w:p>
            <w:r>
              <w:t>Predict attack trajectory and stereochemical product</w:t>
            </w:r>
          </w:p>
        </w:tc>
        <w:tc>
          <w:tcPr>
            <w:tcW w:type="dxa" w:w="1632"/>
          </w:tcPr>
          <w:p>
            <w:r>
              <w:t>Animate backside approach and inversion; contrast with tempting incorrect geometry</w:t>
            </w:r>
          </w:p>
        </w:tc>
        <w:tc>
          <w:tcPr>
            <w:tcW w:type="dxa" w:w="1632"/>
          </w:tcPr>
          <w:p>
            <w:r>
              <w:t>New substrate or representation; distinguish SN1/SN2 context</w:t>
            </w:r>
          </w:p>
        </w:tc>
      </w:tr>
      <w:tr>
        <w:tc>
          <w:tcPr>
            <w:tcW w:type="dxa" w:w="1632"/>
          </w:tcPr>
          <w:p>
            <w:r>
              <w:t>E2</w:t>
            </w:r>
          </w:p>
        </w:tc>
        <w:tc>
          <w:tcPr>
            <w:tcW w:type="dxa" w:w="1632"/>
          </w:tcPr>
          <w:p>
            <w:r>
              <w:t>Elimination boss</w:t>
            </w:r>
          </w:p>
        </w:tc>
        <w:tc>
          <w:tcPr>
            <w:tcW w:type="dxa" w:w="1632"/>
          </w:tcPr>
          <w:p>
            <w:r>
              <w:t>Anti-periplanar requirement ignored</w:t>
            </w:r>
          </w:p>
        </w:tc>
        <w:tc>
          <w:tcPr>
            <w:tcW w:type="dxa" w:w="1632"/>
          </w:tcPr>
          <w:p>
            <w:r>
              <w:t>Select conformation and major alkene product</w:t>
            </w:r>
          </w:p>
        </w:tc>
        <w:tc>
          <w:tcPr>
            <w:tcW w:type="dxa" w:w="1632"/>
          </w:tcPr>
          <w:p>
            <w:r>
              <w:t>Highlight required geometric alignment before bond changes occur</w:t>
            </w:r>
          </w:p>
        </w:tc>
        <w:tc>
          <w:tcPr>
            <w:tcW w:type="dxa" w:w="1632"/>
          </w:tcPr>
          <w:p>
            <w:r>
              <w:t>Cyclohexane/trans-diaxial case or competing elimination pathways</w:t>
            </w:r>
          </w:p>
        </w:tc>
      </w:tr>
    </w:tbl>
    <w:p>
      <w:pPr>
        <w:pStyle w:val="CitationFlag"/>
      </w:pPr>
      <w:r>
        <w:t>[CITATION NEEDED] Each 'target misconception' needs a primary peer-reviewed chemistry-education citation. Add citations for resonance, SN2 stereochemistry, and E2/anti-periplanar reasoning specifically.</w:t>
      </w:r>
    </w:p>
    <w:p>
      <w:pPr>
        <w:pStyle w:val="Heading1"/>
      </w:pPr>
      <w:r>
        <w:t>6. Relationship to Established Learning Techniques</w:t>
      </w:r>
    </w:p>
    <w:p>
      <w:r>
        <w:t>The framework's contribution is architectural rather than mechanistic. It doesn't introduce a new way of learning; it combines mechanisms that are normally experienced separately and gives them a shared consequence structure. Rereading offers inexpensive exposure but little retrieval; mnemonic imagery can improve access to labels without ensuring relational understanding; retrieval practice and spacing have strong evidence but are effortful and often underused; self-explanation can deepen conceptual understanding but requires effective prompts; and generic gamification can increase engagement without guaranteeing mastery.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F2E5F5"/>
          </w:tcPr>
          <w:p>
            <w:r>
              <w:t>Approach</w:t>
            </w:r>
          </w:p>
        </w:tc>
        <w:tc>
          <w:tcPr>
            <w:tcW w:type="dxa" w:w="2448"/>
            <w:shd w:fill="F2E5F5"/>
          </w:tcPr>
          <w:p>
            <w:r>
              <w:t>Primary mechanism</w:t>
            </w:r>
          </w:p>
        </w:tc>
        <w:tc>
          <w:tcPr>
            <w:tcW w:type="dxa" w:w="2448"/>
            <w:shd w:fill="F2E5F5"/>
          </w:tcPr>
          <w:p>
            <w:r>
              <w:t>Strength relevant here</w:t>
            </w:r>
          </w:p>
        </w:tc>
        <w:tc>
          <w:tcPr>
            <w:tcW w:type="dxa" w:w="2448"/>
            <w:shd w:fill="F2E5F5"/>
          </w:tcPr>
          <w:p>
            <w:r>
              <w:t>Limitation relevant here</w:t>
            </w:r>
          </w:p>
        </w:tc>
      </w:tr>
      <w:tr>
        <w:tc>
          <w:tcPr>
            <w:tcW w:type="dxa" w:w="2448"/>
          </w:tcPr>
          <w:p>
            <w:r>
              <w:t>Rereading/highlighting</w:t>
            </w:r>
          </w:p>
        </w:tc>
        <w:tc>
          <w:tcPr>
            <w:tcW w:type="dxa" w:w="2448"/>
          </w:tcPr>
          <w:p>
            <w:r>
              <w:t>Passive re-exposure</w:t>
            </w:r>
          </w:p>
        </w:tc>
        <w:tc>
          <w:tcPr>
            <w:tcW w:type="dxa" w:w="2448"/>
          </w:tcPr>
          <w:p>
            <w:r>
              <w:t>Low barrier to use</w:t>
            </w:r>
          </w:p>
        </w:tc>
        <w:tc>
          <w:tcPr>
            <w:tcW w:type="dxa" w:w="2448"/>
          </w:tcPr>
          <w:p>
            <w:r>
              <w:t>Can create familiarity without independent retrieval</w:t>
            </w:r>
          </w:p>
        </w:tc>
      </w:tr>
      <w:tr>
        <w:tc>
          <w:tcPr>
            <w:tcW w:type="dxa" w:w="2448"/>
          </w:tcPr>
          <w:p>
            <w:r>
              <w:t>Mnemonic imagery</w:t>
            </w:r>
          </w:p>
        </w:tc>
        <w:tc>
          <w:tcPr>
            <w:tcW w:type="dxa" w:w="2448"/>
          </w:tcPr>
          <w:p>
            <w:r>
              <w:t>Associative cue</w:t>
            </w:r>
          </w:p>
        </w:tc>
        <w:tc>
          <w:tcPr>
            <w:tcW w:type="dxa" w:w="2448"/>
          </w:tcPr>
          <w:p>
            <w:r>
              <w:t>Memorable labels and cues</w:t>
            </w:r>
          </w:p>
        </w:tc>
        <w:tc>
          <w:tcPr>
            <w:tcW w:type="dxa" w:w="2448"/>
          </w:tcPr>
          <w:p>
            <w:r>
              <w:t>Does not by itself build transferable chemical relationships</w:t>
            </w:r>
          </w:p>
        </w:tc>
      </w:tr>
      <w:tr>
        <w:tc>
          <w:tcPr>
            <w:tcW w:type="dxa" w:w="2448"/>
          </w:tcPr>
          <w:p>
            <w:r>
              <w:t>Retrieval practice</w:t>
            </w:r>
          </w:p>
        </w:tc>
        <w:tc>
          <w:tcPr>
            <w:tcW w:type="dxa" w:w="2448"/>
          </w:tcPr>
          <w:p>
            <w:r>
              <w:t>Effortful recall with feedback</w:t>
            </w:r>
          </w:p>
        </w:tc>
        <w:tc>
          <w:tcPr>
            <w:tcW w:type="dxa" w:w="2448"/>
          </w:tcPr>
          <w:p>
            <w:r>
              <w:t>Durable learning and diagnosis of gaps</w:t>
            </w:r>
          </w:p>
        </w:tc>
        <w:tc>
          <w:tcPr>
            <w:tcW w:type="dxa" w:w="2448"/>
          </w:tcPr>
          <w:p>
            <w:r>
              <w:t>Effortful; learners may avoid it</w:t>
            </w:r>
          </w:p>
        </w:tc>
      </w:tr>
      <w:tr>
        <w:tc>
          <w:tcPr>
            <w:tcW w:type="dxa" w:w="2448"/>
          </w:tcPr>
          <w:p>
            <w:r>
              <w:t>Spaced/interleaved practice</w:t>
            </w:r>
          </w:p>
        </w:tc>
        <w:tc>
          <w:tcPr>
            <w:tcW w:type="dxa" w:w="2448"/>
          </w:tcPr>
          <w:p>
            <w:r>
              <w:t>Repeated retrieval across time/contexts</w:t>
            </w:r>
          </w:p>
        </w:tc>
        <w:tc>
          <w:tcPr>
            <w:tcW w:type="dxa" w:w="2448"/>
          </w:tcPr>
          <w:p>
            <w:r>
              <w:t>Supports retention and discrimination</w:t>
            </w:r>
          </w:p>
        </w:tc>
        <w:tc>
          <w:tcPr>
            <w:tcW w:type="dxa" w:w="2448"/>
          </w:tcPr>
          <w:p>
            <w:r>
              <w:t>Requires scheduling and repeated engagement</w:t>
            </w:r>
          </w:p>
        </w:tc>
      </w:tr>
      <w:tr>
        <w:tc>
          <w:tcPr>
            <w:tcW w:type="dxa" w:w="2448"/>
          </w:tcPr>
          <w:p>
            <w:r>
              <w:t>Self-explanation</w:t>
            </w:r>
          </w:p>
        </w:tc>
        <w:tc>
          <w:tcPr>
            <w:tcW w:type="dxa" w:w="2448"/>
          </w:tcPr>
          <w:p>
            <w:r>
              <w:t>Articulation of why/how</w:t>
            </w:r>
          </w:p>
        </w:tc>
        <w:tc>
          <w:tcPr>
            <w:tcW w:type="dxa" w:w="2448"/>
          </w:tcPr>
          <w:p>
            <w:r>
              <w:t>Supports relational understanding</w:t>
            </w:r>
          </w:p>
        </w:tc>
        <w:tc>
          <w:tcPr>
            <w:tcW w:type="dxa" w:w="2448"/>
          </w:tcPr>
          <w:p>
            <w:r>
              <w:t>Can remain shallow without prompts</w:t>
            </w:r>
          </w:p>
        </w:tc>
      </w:tr>
      <w:tr>
        <w:tc>
          <w:tcPr>
            <w:tcW w:type="dxa" w:w="2448"/>
          </w:tcPr>
          <w:p>
            <w:r>
              <w:t>Generic gamification</w:t>
            </w:r>
          </w:p>
        </w:tc>
        <w:tc>
          <w:tcPr>
            <w:tcW w:type="dxa" w:w="2448"/>
          </w:tcPr>
          <w:p>
            <w:r>
              <w:t>Rewards/progression</w:t>
            </w:r>
          </w:p>
        </w:tc>
        <w:tc>
          <w:tcPr>
            <w:tcW w:type="dxa" w:w="2448"/>
          </w:tcPr>
          <w:p>
            <w:r>
              <w:t>Can support engagement and persistence</w:t>
            </w:r>
          </w:p>
        </w:tc>
        <w:tc>
          <w:tcPr>
            <w:tcW w:type="dxa" w:w="2448"/>
          </w:tcPr>
          <w:p>
            <w:r>
              <w:t>Motivation gains need not equal learning gains</w:t>
            </w:r>
          </w:p>
        </w:tc>
      </w:tr>
      <w:tr>
        <w:tc>
          <w:tcPr>
            <w:tcW w:type="dxa" w:w="2448"/>
          </w:tcPr>
          <w:p>
            <w:r>
              <w:t>Combat-based learning framework</w:t>
            </w:r>
          </w:p>
        </w:tc>
        <w:tc>
          <w:tcPr>
            <w:tcW w:type="dxa" w:w="2448"/>
          </w:tcPr>
          <w:p>
            <w:r>
              <w:t>Reasoning-gated gameplay that packages the above mechanisms</w:t>
            </w:r>
          </w:p>
        </w:tc>
        <w:tc>
          <w:tcPr>
            <w:tcW w:type="dxa" w:w="2448"/>
          </w:tcPr>
          <w:p>
            <w:r>
              <w:t>Can integrate retrieval, feedback, representation, spacing, misconception correction, and motivation</w:t>
            </w:r>
          </w:p>
        </w:tc>
        <w:tc>
          <w:tcPr>
            <w:tcW w:type="dxa" w:w="2448"/>
          </w:tcPr>
          <w:p>
            <w:r>
              <w:t>Benefits depend on alignment; integrated effectiveness remains to be tested</w:t>
            </w:r>
          </w:p>
        </w:tc>
      </w:tr>
    </w:tbl>
    <w:p>
      <w:pPr>
        <w:pStyle w:val="CitationFlag"/>
      </w:pPr>
      <w:r>
        <w:t>[CITATION NEEDED] Update this synthesis with recent peer-reviewed sources and ensure claims about relative evidence strength are accurately qualified.</w:t>
      </w:r>
    </w:p>
    <w:p>
      <w:pPr>
        <w:pStyle w:val="Heading1"/>
      </w:pPr>
      <w:r>
        <w:t>7. Design Principles for Combat-Based Chemistry Learning</w:t>
      </w:r>
    </w:p>
    <w:p>
      <w:r>
        <w:rPr>
          <w:b/>
        </w:rPr>
        <w:t xml:space="preserve">Principle 1 — Chemistry must gate progress. </w:t>
      </w:r>
      <w:r>
        <w:t>A battle should not be winnable through button-mashing or trial-and-error that bypasses the target concept. The player's successful action should depend on chemically relevant retrieval, prediction, explanation, or application.</w:t>
      </w:r>
    </w:p>
    <w:p>
      <w:r>
        <w:rPr>
          <w:b/>
        </w:rPr>
        <w:t xml:space="preserve">Principle 2 — Errors should diagnose misconceptions. </w:t>
      </w:r>
      <w:r>
        <w:t>Incorrect options or moves should be plausible expressions of known student misconceptions rather than arbitrary distractors. This allows the encounter to reveal what rule the learner is applying.</w:t>
      </w:r>
    </w:p>
    <w:p>
      <w:r>
        <w:rPr>
          <w:b/>
        </w:rPr>
        <w:t xml:space="preserve">Principle 3 — Failure should produce explanatory feedback. </w:t>
      </w:r>
      <w:r>
        <w:t>A boss should not merely say 'incorrect.' Feedback should show the relevant chemical relationship—such as electron movement, geometry, charge, or product—before the learner retries.</w:t>
      </w:r>
    </w:p>
    <w:p>
      <w:r>
        <w:rPr>
          <w:b/>
        </w:rPr>
        <w:t xml:space="preserve">Principle 4 — Encounters should recur through spacing and interleaving. </w:t>
      </w:r>
      <w:r>
        <w:t>A single encounter is a single retrieval event. Boss rematches, mixed-boss gauntlets, or mastery encounters can revisit concepts after delay and alongside competing concepts.</w:t>
      </w:r>
    </w:p>
    <w:p>
      <w:r>
        <w:rPr>
          <w:b/>
        </w:rPr>
        <w:t xml:space="preserve">Principle 5 — Visual metaphors should support, not replace, conceptual reasoning. </w:t>
      </w:r>
      <w:r>
        <w:t>Names, silhouettes, animations, and narrative can serve as retrieval cues. They should point toward chemically meaningful structure or behavior rather than become the content students memorize.</w:t>
      </w:r>
    </w:p>
    <w:p>
      <w:r>
        <w:rPr>
          <w:b/>
        </w:rPr>
        <w:t xml:space="preserve">Principle 6 — Rewards should motivate practice rather than substitute for learning. </w:t>
      </w:r>
      <w:r>
        <w:t>Progression, unlocks, and victory sequences may increase willingness to persist. Academic mastery must remain dependent on the reasoning gate.</w:t>
      </w:r>
    </w:p>
    <w:p>
      <w:pPr>
        <w:pStyle w:val="Heading1"/>
      </w:pPr>
      <w:r>
        <w:t>8. Limitations and Research Agenda</w:t>
      </w:r>
    </w:p>
    <w:p>
      <w:r>
        <w:t>The framework has not yet been evaluated as an integrated intervention. The evidence reviewed here supports its constituent mechanisms, not the claim that combining them in a boss-battle environment will necessarily improve organic chemistry learning. Game elements can also introduce extraneous cognitive load, distract from chemical representations, encourage superficial optimization of rewards, or benefit some learners more than others. These possibilities should be treated as design and research questions rather than assumed away.</w:t>
      </w:r>
    </w:p>
    <w:p>
      <w:r>
        <w:t>The framework generates several testable predictions:</w:t>
      </w:r>
    </w:p>
    <w:p>
      <w:pPr>
        <w:pStyle w:val="ListBullet"/>
      </w:pPr>
      <w:r>
        <w:t>H1. Reasoning-gated combat practice will produce greater delayed retention than passive re-exposure when chemistry content and study time are held comparable.</w:t>
      </w:r>
    </w:p>
    <w:p>
      <w:pPr>
        <w:pStyle w:val="ListBullet"/>
      </w:pPr>
      <w:r>
        <w:t>H2. Misconception-targeted encounters with explanatory feedback will reduce recurrence of the targeted misconception on structurally different problems.</w:t>
      </w:r>
    </w:p>
    <w:p>
      <w:pPr>
        <w:pStyle w:val="ListBullet"/>
      </w:pPr>
      <w:r>
        <w:t>H3. Encounters requiring prediction and explanation will produce better transfer to unfamiliar molecules than encounters requiring recognition alone.</w:t>
      </w:r>
    </w:p>
    <w:p>
      <w:pPr>
        <w:pStyle w:val="ListBullet"/>
      </w:pPr>
      <w:r>
        <w:t>H4. Combat/narrative framing will increase voluntary practice or persistence relative to an equivalent conventional question interface.</w:t>
      </w:r>
    </w:p>
    <w:p>
      <w:pPr>
        <w:pStyle w:val="ListBullet"/>
      </w:pPr>
      <w:r>
        <w:t>H5. Decorative gamification in which chemistry does not determine gameplay outcomes will produce weaker conceptual benefits than reasoning-gated combat.</w:t>
      </w:r>
    </w:p>
    <w:p>
      <w:pPr>
        <w:pStyle w:val="CitationFlag"/>
      </w:pPr>
      <w:r>
        <w:t>[CITATION NEEDED] The hypotheses are proposed by the authors; support their rationale with literature on retrieval, transfer, feedback, motivation, cognitive load, and game-based learning. Avoid presenting them as established effects.</w:t>
      </w:r>
    </w:p>
    <w:p>
      <w:pPr>
        <w:pStyle w:val="Heading1"/>
      </w:pPr>
      <w:r>
        <w:t>9. Implications for Chemistry Teaching</w:t>
      </w:r>
    </w:p>
    <w:p>
      <w:r>
        <w:t>The framework does not require instructors to build a complete role-playing game. Its design logic can be implemented at smaller scale: a recurring concept character in a learning-management system, a classroom challenge in which progress depends on mechanistic reasoning, or a sequence of digital problems that returns to the same misconception under changing chemical contexts. The essential feature is alignment between the learning objective, the reasoning required, the feedback delivered, and the later re-encounter.</w:t>
      </w:r>
    </w:p>
    <w:p>
      <w:r>
        <w:t>For instructors, the framework offers a practical design question: what must a student understand in order to 'defeat' this concept? Answering that question shifts attention from the visual theme to observable reasoning. For researchers, the framework separates motivational affordances from cognitive mechanisms, allowing future studies to compare reasoning-gated combat with equivalent non-game practice and with decorative gamification.</w:t>
      </w:r>
    </w:p>
    <w:p>
      <w:pPr>
        <w:pStyle w:val="CitationFlag"/>
      </w:pPr>
      <w:r>
        <w:t>[CITATION NEEDED] Add literature on implementation of game-based or interactive chemistry learning in authentic courses, preferably higher-education chemistry examples.</w:t>
      </w:r>
    </w:p>
    <w:p>
      <w:pPr>
        <w:pStyle w:val="Heading1"/>
      </w:pPr>
      <w:r>
        <w:t>10. Conclusion</w:t>
      </w:r>
    </w:p>
    <w:p>
      <w:r>
        <w:t>Combat-based learning should be understood not as a replacement for evidence-based chemistry pedagogy but as an architecture for embedding evidence-based practice into an interactive environment. A well-built boss encounter can require effortful retrieval, make misconceptions visible, provide immediate explanatory feedback, cue concepts through complementary representations, and bring the same reasoning back after delay. None of these benefits follows automatically from characters, points, or combat. The decisive design criterion is whether chemistry determines what the learner can do.</w:t>
      </w:r>
    </w:p>
    <w:p>
      <w:r>
        <w:t>The proposed framework makes that criterion explicit and translates it into design principles and testable predictions. Its next step is empirical: implementations should be evaluated not only for enjoyment but for retention, transfer, misconception correction, and sustained voluntary practice. Until such evidence is available, the framework should be treated as a research-informed pedagogical proposal rather than a demonstrated learning advantage.</w:t>
      </w:r>
    </w:p>
    <w:p>
      <w:pPr>
        <w:pStyle w:val="Heading1"/>
      </w:pPr>
      <w:r>
        <w:t>Data availability</w:t>
      </w:r>
    </w:p>
    <w:p>
      <w:r>
        <w:t>No primary research data were generated or analysed as part of this Perspective.</w:t>
      </w:r>
    </w:p>
    <w:p>
      <w:pPr>
        <w:pStyle w:val="Heading1"/>
      </w:pPr>
      <w:r>
        <w:t>Conflicts of interest</w:t>
      </w:r>
    </w:p>
    <w:p>
      <w:r>
        <w:t>[AUTHOR TO COMPLETE] Declare any financial or non-financial interests relevant to the game, software, company, intellectual property, or publication. If none apply, use the journal's required no-conflict wording.</w:t>
      </w:r>
    </w:p>
    <w:p>
      <w:pPr>
        <w:pStyle w:val="Heading1"/>
      </w:pPr>
      <w:r>
        <w:t>Acknowledgements and AI-use disclosure</w:t>
      </w:r>
    </w:p>
    <w:p>
      <w:r>
        <w:t>[AUTHOR TO COMPLETE BEFORE SUBMISSION] Royal Society of Chemistry policy requires disclosure when generative AI has been used to generate manuscript content. Because generative AI was used in restructuring and drafting this manuscript, the final submission should identify the tool/model and describe how it was used, with the authors taking full responsibility for verification, citations, accuracy, and the final text. Also declare funding and non-author contributors here.</w:t>
      </w:r>
    </w:p>
    <w:p>
      <w:pPr>
        <w:pStyle w:val="Heading1"/>
      </w:pPr>
      <w:r>
        <w:t>References — retained from the source manuscript; verification required</w:t>
      </w:r>
    </w:p>
    <w:p>
      <w:pPr>
        <w:pStyle w:val="ListNumber"/>
      </w:pPr>
      <w:r>
        <w:t>Cepeda, N. J., Pashler, H., Vul, E., Wixted, J. T., &amp; Rohrer, D. (2006). Distributed practice in verbal recall tasks: A review and quantitative synthesis. Psychological Bulletin, 132(3), 354–380.</w:t>
      </w:r>
    </w:p>
    <w:p>
      <w:pPr>
        <w:pStyle w:val="ListNumber"/>
      </w:pPr>
      <w:r>
        <w:t>Cruz-Ramírez de Arellano, D., &amp; Towns, M. H. (2014). Students' understanding of alkyl halide reactions in undergraduate organic chemistry. Chemistry Education Research and Practice, 15(4), 501–515.</w:t>
      </w:r>
    </w:p>
    <w:p>
      <w:pPr>
        <w:pStyle w:val="ListNumber"/>
      </w:pPr>
      <w:r>
        <w:t>Dunlosky, J., Rawson, K. A., Marsh, E. J., Nathan, M. J., &amp; Willingham, D. T. (2013). Improving students' learning with effective learning techniques: Promising directions from cognitive and educational psychology. Psychological Science in the Public Interest, 14(1), 4–58.</w:t>
      </w:r>
    </w:p>
    <w:p>
      <w:pPr>
        <w:pStyle w:val="ListNumber"/>
      </w:pPr>
      <w:r>
        <w:t>Kornell, N., &amp; Bjork, R. A. (2007). The promise and perils of self-regulated study. Psychonomic Bulletin &amp; Review, 14(2), 219–224.</w:t>
      </w:r>
    </w:p>
    <w:p>
      <w:pPr>
        <w:pStyle w:val="ListNumber"/>
      </w:pPr>
      <w:r>
        <w:t>Paivio, A. (1986). Mental Representations: A Dual Coding Approach. Oxford University Press.</w:t>
      </w:r>
    </w:p>
    <w:p>
      <w:pPr>
        <w:pStyle w:val="ListNumber"/>
      </w:pPr>
      <w:r>
        <w:t>Roediger, H. L., &amp; Karpicke, J. D. (2006). Test-enhanced learning: Taking memory tests improves long-term retention. Psychological Science, 17(3), 249–255.</w:t>
      </w:r>
    </w:p>
    <w:p>
      <w:pPr>
        <w:pStyle w:val="ListNumber"/>
      </w:pPr>
      <w:r>
        <w:t>Journal of Chemical Education. (2026). Myths about teaching and learning organic chemistry. Journal of Chemical Education, 103(3), 1145–[PAGE RANGE INCOMPLETE IN SOURCE — VERIFY BEFORE SUBMISSION].</w:t>
      </w:r>
    </w:p>
    <w:p>
      <w:pPr>
        <w:pStyle w:val="ListNumber"/>
      </w:pPr>
      <w:r>
        <w:t>Journal of Educational Computing Research. (2022). Effects of game-based learning on students' achievement in science: A meta-analysis. [VERIFY AUTHORS, VOLUME, ISSUE, PAGES, DOI].</w:t>
      </w:r>
    </w:p>
    <w:p>
      <w:pPr>
        <w:pStyle w:val="ListNumber"/>
      </w:pPr>
      <w:r>
        <w:t>International Journal of STEM Education. (2022). Effects of digital game-based STEM education on students' learning achievement: A meta-analysis. [VERIFY AUTHORS, VOLUME, ARTICLE NUMBER, DOI].</w:t>
      </w:r>
    </w:p>
    <w:p>
      <w:pPr>
        <w:pStyle w:val="ListNumber"/>
      </w:pPr>
      <w:r>
        <w:t>Educational Technology Research and Development. (2024). Gamification enhances student intrinsic motivation, perceptions of autonomy and relatedness, but minimal impact on competency: A meta-analysis and systematic review. [VERIFY AUTHORS, VOLUME, PAGES, DOI].</w:t>
      </w:r>
    </w:p>
    <w:p>
      <w:pPr>
        <w:pStyle w:val="ListNumber"/>
      </w:pPr>
      <w:r>
        <w:t>Chou, Y. (2023). Boss fight design: 5 keys to bosses players never forget. [NON-PEER-REVIEWED; consider removing or using only as design commentary].</w:t>
      </w:r>
    </w:p>
    <w:p>
      <w:pPr>
        <w:pStyle w:val="ListNumber"/>
      </w:pPr>
      <w:r>
        <w:t>University XP. (2020). Game mechanics for learning. [NON-PEER-REVIEWED; replace with peer-reviewed learning/game-design scholarship where possible].</w:t>
      </w:r>
    </w:p>
    <w:p>
      <w:pPr>
        <w:pStyle w:val="Heading1"/>
      </w:pPr>
      <w:r>
        <w:t>Citation-development checklist</w:t>
      </w:r>
    </w:p>
    <w:p>
      <w:pPr>
        <w:pStyle w:val="ListBullet"/>
      </w:pPr>
      <w:r>
        <w:t>Organic chemistry learning: mechanistic reasoning, representational competence, transfer, and memorization/surface-feature strategies.</w:t>
      </w:r>
    </w:p>
    <w:p>
      <w:pPr>
        <w:pStyle w:val="ListBullet"/>
      </w:pPr>
      <w:r>
        <w:t>Specific misconceptions: resonance, SN2 stereochemistry/backside attack, E2 anti-periplanar geometry, curved-arrow reasoning.</w:t>
      </w:r>
    </w:p>
    <w:p>
      <w:pPr>
        <w:pStyle w:val="ListBullet"/>
      </w:pPr>
      <w:r>
        <w:t>Retrieval practice and feedback in chemistry education, not only general cognitive psychology.</w:t>
      </w:r>
    </w:p>
    <w:p>
      <w:pPr>
        <w:pStyle w:val="ListBullet"/>
      </w:pPr>
      <w:r>
        <w:t>Spacing/interleaving and discrimination among reaction mechanisms or chemical concepts.</w:t>
      </w:r>
    </w:p>
    <w:p>
      <w:pPr>
        <w:pStyle w:val="ListBullet"/>
      </w:pPr>
      <w:r>
        <w:t>Multiple representations, visualization, and dual coding in chemistry education.</w:t>
      </w:r>
    </w:p>
    <w:p>
      <w:pPr>
        <w:pStyle w:val="ListBullet"/>
      </w:pPr>
      <w:r>
        <w:t>Self-determination/motivation and contemporary game-based learning in higher education/STEM.</w:t>
      </w:r>
    </w:p>
    <w:p>
      <w:pPr>
        <w:pStyle w:val="ListBullet"/>
      </w:pPr>
      <w:r>
        <w:t>Cognitive load and possible adverse effects of decorative or extraneous game elements.</w:t>
      </w:r>
    </w:p>
    <w:p>
      <w:pPr>
        <w:pStyle w:val="ListBullet"/>
      </w:pPr>
      <w:r>
        <w:t>Examples of digital/game-based chemistry learning implemented in authentic courses.</w:t>
      </w:r>
    </w:p>
    <w:p>
      <w:pPr>
        <w:pStyle w:val="ListBullet"/>
      </w:pPr>
      <w:r>
        <w:t>Recent CERP Perspectives/framework papers to position the article genre and contribution.</w:t>
      </w:r>
    </w:p>
    <w:p>
      <w:pPr>
        <w:pStyle w:val="Heading1"/>
      </w:pPr>
      <w:r>
        <w:t>Editorial note for the authors</w:t>
      </w:r>
    </w:p>
    <w:p>
      <w:r>
        <w:t>This draft intentionally preserves the source manuscript's central thesis and examples while changing the article's scholarly identity from a broad evidence synthesis into a CERP-style Perspective. Bracketed citation flags identify claims or framework components that should be supported with additional peer-reviewed literature before submission. No experimental effectiveness claim has been added. The three chemistry encounter examples are explicitly labeled illustrative until supported by implementation or study data.</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itationFlag">
    <w:name w:val="Citation Flag"/>
    <w:pPr>
      <w:spacing w:before="60" w:after="140"/>
      <w:ind w:left="360" w:right="360"/>
    </w:pPr>
    <w:rPr>
      <w:rFonts w:ascii="Arial" w:hAnsi="Arial"/>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