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Title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A37501D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05DD664D" w14:paraId="58D8E16A" wp14:textId="6DE962D2">
      <w:pPr>
        <w:pStyle w:val="Title"/>
        <w:rPr>
          <w:rFonts w:ascii="Arial" w:hAnsi="Arial"/>
        </w:rPr>
      </w:pPr>
      <w:r w:rsidRPr="05DD664D" w:rsidR="05DD664D">
        <w:rPr>
          <w:rFonts w:ascii="Arial" w:hAnsi="Arial" w:eastAsia="Georgia" w:cs="Georgia"/>
          <w:b w:val="1"/>
          <w:bCs w:val="1"/>
          <w:sz w:val="56"/>
          <w:szCs w:val="56"/>
        </w:rPr>
        <w:t xml:space="preserve">Audit Logging and Monitoring Policy </w:t>
      </w:r>
    </w:p>
    <w:p xmlns:wp14="http://schemas.microsoft.com/office/word/2010/wordml" w14:paraId="1F0855AC" wp14:textId="44576C9B">
      <w:pPr>
        <w:pStyle w:val="Title"/>
        <w:rPr>
          <w:rFonts w:ascii="Arial" w:hAnsi="Arial"/>
        </w:rPr>
      </w:pPr>
      <w:r w:rsidRPr="05DD664D" w:rsidR="05DD664D">
        <w:rPr>
          <w:rFonts w:ascii="Arial" w:hAnsi="Arial" w:eastAsia="Georgia" w:cs="Georgia"/>
          <w:b w:val="1"/>
          <w:bCs w:val="1"/>
          <w:sz w:val="56"/>
          <w:szCs w:val="56"/>
        </w:rPr>
        <w:t>Template</w:t>
      </w:r>
    </w:p>
    <w:p xmlns:wp14="http://schemas.microsoft.com/office/word/2010/wordml" w:rsidP="05DD664D" w14:paraId="25F777E1" wp14:textId="5C725634">
      <w:pPr>
        <w:pStyle w:val="Title"/>
        <w:rPr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</w:p>
    <w:p xmlns:wp14="http://schemas.microsoft.com/office/word/2010/wordml" w:rsidP="05DD664D" w14:paraId="5DAB6C7B" wp14:textId="72E1CCCA">
      <w:pPr>
        <w:pStyle w:val="Title"/>
        <w:rPr>
          <w:rFonts w:ascii="Liberation Sans" w:hAnsi="Liberation Sans" w:eastAsia="Noto Sans CJK SC" w:cs="Lohit Devanagari"/>
          <w:b w:val="1"/>
          <w:bCs w:val="1"/>
          <w:i w:val="0"/>
          <w:iCs w:val="0"/>
          <w:caps w:val="0"/>
          <w:smallCaps w:val="0"/>
          <w:noProof w:val="0"/>
          <w:color w:val="auto"/>
          <w:sz w:val="56"/>
          <w:szCs w:val="56"/>
          <w:lang w:val="en-GB"/>
        </w:rPr>
      </w:pPr>
      <w:r w:rsidRPr="05DD664D" w:rsidR="05DD664D">
        <w:rPr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This is an example policy. Please ensure you update this policy template so that it’s suitable for your organisation.</w:t>
      </w:r>
    </w:p>
    <w:p xmlns:wp14="http://schemas.microsoft.com/office/word/2010/wordml" w14:paraId="02EB378F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A05A809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A39BBE3" wp14:textId="77777777">
      <w:pPr>
        <w:pStyle w:val="Title"/>
        <w:rPr>
          <w:rFonts w:ascii="Arial" w:hAnsi="Arial"/>
        </w:rPr>
      </w:pPr>
    </w:p>
    <w:p xmlns:wp14="http://schemas.microsoft.com/office/word/2010/wordml" w14:paraId="33CBA772" wp14:textId="16E8D09A">
      <w:pPr>
        <w:pStyle w:val="Title"/>
        <w:rPr>
          <w:rFonts w:ascii="Arial" w:hAnsi="Arial"/>
        </w:rPr>
      </w:pPr>
      <w:r>
        <w:br w:type="page"/>
      </w:r>
    </w:p>
    <w:p xmlns:wp14="http://schemas.microsoft.com/office/word/2010/wordml" w14:paraId="39EC13BE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Purpose</w:t>
      </w:r>
    </w:p>
    <w:p xmlns:wp14="http://schemas.microsoft.com/office/word/2010/wordml" w:rsidP="05DD664D" w14:paraId="72869E25" wp14:textId="77777777">
      <w:pPr>
        <w:pStyle w:val="Textbody1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05DD664D" w:rsidR="05DD664D">
        <w:rPr>
          <w:rFonts w:ascii="Arial" w:hAnsi="Arial"/>
        </w:rPr>
        <w:t>To address the regulatory requirements for safeguarding the confidentiality, integrity, and availability of information assets through auditing, logging, and monitoring activities.</w:t>
      </w:r>
    </w:p>
    <w:p xmlns:wp14="http://schemas.microsoft.com/office/word/2010/wordml" w:rsidP="05DD664D" w14:paraId="226778A2" wp14:textId="41C016F2">
      <w:pPr>
        <w:pStyle w:val="Textbody1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05DD664D" w:rsidR="05DD664D">
        <w:rPr>
          <w:rFonts w:ascii="Arial" w:hAnsi="Arial"/>
        </w:rPr>
        <w:t>To verify compliance with access controls and administrative and other safeguards developed and implemented to prevent or limit inappropriate access to data.</w:t>
      </w:r>
    </w:p>
    <w:p xmlns:wp14="http://schemas.microsoft.com/office/word/2010/wordml" w:rsidP="05DD664D" w14:paraId="4A07B85E" wp14:textId="16A3A9FC">
      <w:pPr>
        <w:pStyle w:val="Textbody1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05DD664D" w:rsidR="05DD664D">
        <w:rPr>
          <w:rFonts w:ascii="Arial" w:hAnsi="Arial"/>
        </w:rPr>
        <w:t>To ensure that routine and random audits are utilised as oversight tools for recording and examining access to information. For example, who accessed what data and when.</w:t>
      </w:r>
    </w:p>
    <w:p xmlns:wp14="http://schemas.microsoft.com/office/word/2010/wordml" w14:paraId="41C8F396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6DABE0D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Scope</w:t>
      </w:r>
    </w:p>
    <w:p xmlns:wp14="http://schemas.microsoft.com/office/word/2010/wordml" w14:paraId="3D523CA8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>This policy applies to all parties who access or use our information assets, regardless of physical location.</w:t>
      </w:r>
    </w:p>
    <w:p xmlns:wp14="http://schemas.microsoft.com/office/word/2010/wordml" w14:paraId="2FC7D113" wp14:textId="4331B675">
      <w:pPr>
        <w:pStyle w:val="Textbody1"/>
        <w:rPr>
          <w:rFonts w:ascii="Arial" w:hAnsi="Arial"/>
        </w:rPr>
      </w:pPr>
      <w:r w:rsidRPr="05DD664D" w:rsidR="05DD664D">
        <w:rPr>
          <w:rFonts w:ascii="Arial" w:hAnsi="Arial"/>
        </w:rPr>
        <w:t>Information technology (IT) resources include all owned, licensed, leased, or managed hardware and software, and use of our network through a physical or wireless connection. This is regardless of the ownership of the computing device connected to the network.</w:t>
      </w:r>
    </w:p>
    <w:p xmlns:wp14="http://schemas.microsoft.com/office/word/2010/wordml" w:rsidP="05DD664D" w14:paraId="011AB2D0" wp14:textId="5751D2AE">
      <w:pPr>
        <w:pStyle w:val="Textbody1"/>
        <w:rPr>
          <w:rFonts w:ascii="Arial" w:hAnsi="Arial"/>
        </w:rPr>
      </w:pPr>
      <w:r w:rsidRPr="05DD664D" w:rsidR="05DD664D">
        <w:rPr>
          <w:rFonts w:ascii="Arial" w:hAnsi="Arial"/>
        </w:rPr>
        <w:t xml:space="preserve">This policy applies to: </w:t>
      </w:r>
    </w:p>
    <w:p xmlns:wp14="http://schemas.microsoft.com/office/word/2010/wordml" w:rsidP="05DD664D" w14:paraId="20785BBC" wp14:textId="21FA1E14">
      <w:pPr>
        <w:pStyle w:val="Textbody1"/>
        <w:numPr>
          <w:ilvl w:val="0"/>
          <w:numId w:val="7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05DD664D" w:rsidR="05DD664D">
        <w:rPr>
          <w:rFonts w:ascii="Arial" w:hAnsi="Arial"/>
        </w:rPr>
        <w:t>IT administered centrally</w:t>
      </w:r>
    </w:p>
    <w:p xmlns:wp14="http://schemas.microsoft.com/office/word/2010/wordml" w:rsidP="05DD664D" w14:paraId="1511E0C1" wp14:textId="216E151F">
      <w:pPr>
        <w:pStyle w:val="Textbody1"/>
        <w:numPr>
          <w:ilvl w:val="0"/>
          <w:numId w:val="7"/>
        </w:numPr>
        <w:spacing w:after="0" w:afterAutospacing="off"/>
        <w:rPr>
          <w:color w:val="auto"/>
          <w:sz w:val="24"/>
          <w:szCs w:val="24"/>
        </w:rPr>
      </w:pPr>
      <w:r w:rsidRPr="05DD664D" w:rsidR="05DD664D">
        <w:rPr>
          <w:rFonts w:ascii="Arial" w:hAnsi="Arial"/>
        </w:rPr>
        <w:t xml:space="preserve">personally-owned computing devices connected by wire or wirelessly to our network </w:t>
      </w:r>
    </w:p>
    <w:p xmlns:wp14="http://schemas.microsoft.com/office/word/2010/wordml" w:rsidP="05DD664D" w14:paraId="3EBC49D8" wp14:textId="5CAE9E72">
      <w:pPr>
        <w:pStyle w:val="Textbody1"/>
        <w:numPr>
          <w:ilvl w:val="0"/>
          <w:numId w:val="7"/>
        </w:numPr>
        <w:rPr>
          <w:color w:val="auto"/>
          <w:sz w:val="24"/>
          <w:szCs w:val="24"/>
        </w:rPr>
      </w:pPr>
      <w:r w:rsidRPr="05DD664D" w:rsidR="05DD664D">
        <w:rPr>
          <w:rFonts w:ascii="Arial" w:hAnsi="Arial"/>
        </w:rPr>
        <w:t>off-site computing devices that connect remotely to our network</w:t>
      </w:r>
    </w:p>
    <w:p xmlns:wp14="http://schemas.microsoft.com/office/word/2010/wordml" w14:paraId="72A3D3EC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F01B27E" wp14:textId="77777777">
      <w:pPr>
        <w:pStyle w:val="Heading2"/>
        <w:rPr>
          <w:rFonts w:ascii="Arial" w:hAnsi="Arial"/>
        </w:rPr>
      </w:pPr>
      <w:r w:rsidRPr="05DD664D" w:rsidR="05DD664D">
        <w:rPr>
          <w:rFonts w:ascii="Arial" w:hAnsi="Arial"/>
        </w:rPr>
        <w:t>Policy</w:t>
      </w:r>
    </w:p>
    <w:p xmlns:wp14="http://schemas.microsoft.com/office/word/2010/wordml" w14:paraId="218926CE" wp14:textId="0C3DCA9B">
      <w:pPr>
        <w:pStyle w:val="Textbody1"/>
        <w:rPr>
          <w:rFonts w:ascii="Arial" w:hAnsi="Arial"/>
        </w:rPr>
      </w:pPr>
      <w:r w:rsidRPr="05DD664D" w:rsidR="05DD664D">
        <w:rPr>
          <w:rFonts w:ascii="Arial" w:hAnsi="Arial"/>
        </w:rPr>
        <w:t xml:space="preserve">This policy aims to ensure that appropriate safeguards are in place and effective, </w:t>
      </w:r>
      <w:r w:rsidRPr="05DD664D" w:rsidR="05DD664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24"/>
          <w:szCs w:val="24"/>
          <w:highlight w:val="yellow"/>
          <w:u w:val="none"/>
          <w:lang w:val="en-GB"/>
        </w:rPr>
        <w:t>&lt;organisation&gt;</w:t>
      </w:r>
      <w:r w:rsidRPr="05DD664D" w:rsidR="05DD664D">
        <w:rPr>
          <w:rFonts w:ascii="Arial" w:hAnsi="Arial"/>
        </w:rPr>
        <w:t xml:space="preserve"> </w:t>
      </w:r>
      <w:r w:rsidRPr="05DD664D" w:rsidR="05DD664D">
        <w:rPr>
          <w:rFonts w:ascii="Arial" w:hAnsi="Arial"/>
        </w:rPr>
        <w:t>shall audit, log, and monitor access and events to detect, report, and guard against:</w:t>
      </w:r>
    </w:p>
    <w:p xmlns:wp14="http://schemas.microsoft.com/office/word/2010/wordml" w:rsidP="05DD664D" w14:paraId="115A31AF" wp14:textId="0AACF233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network vulnerabilities and intrusions</w:t>
      </w:r>
    </w:p>
    <w:p xmlns:wp14="http://schemas.microsoft.com/office/word/2010/wordml" w:rsidP="05DD664D" w14:paraId="39BAD918" wp14:textId="680593CE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performance problems and flaws in applications</w:t>
      </w:r>
      <w:r w:rsidRPr="05DD664D" w:rsidR="05DD664D">
        <w:rPr>
          <w:rFonts w:ascii="Arial" w:hAnsi="Arial"/>
        </w:rPr>
        <w:t xml:space="preserve"> </w:t>
      </w:r>
    </w:p>
    <w:p xmlns:wp14="http://schemas.microsoft.com/office/word/2010/wordml" w:rsidP="05DD664D" w14:paraId="1FB4C2AE" wp14:textId="1F3F8D55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security violations</w:t>
      </w:r>
    </w:p>
    <w:p xmlns:wp14="http://schemas.microsoft.com/office/word/2010/wordml" w:rsidP="05DD664D" w14:paraId="3434F41B" wp14:textId="7AA30B55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data loss</w:t>
      </w:r>
    </w:p>
    <w:p xmlns:wp14="http://schemas.microsoft.com/office/word/2010/wordml" w:rsidP="05DD664D" w14:paraId="180BD964" wp14:textId="106C8BEF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unauthorized access to confidential data – including attorney-client privileged information</w:t>
      </w:r>
    </w:p>
    <w:p xmlns:wp14="http://schemas.microsoft.com/office/word/2010/wordml" w:rsidP="05DD664D" w14:paraId="3495A216" wp14:textId="225078F4">
      <w:pPr>
        <w:pStyle w:val="Textbody1"/>
        <w:numPr>
          <w:ilvl w:val="0"/>
          <w:numId w:val="1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breaches in confidentiality and security of confidential data</w:t>
      </w:r>
    </w:p>
    <w:p xmlns:wp14="http://schemas.microsoft.com/office/word/2010/wordml" w14:paraId="29FE5ED3" wp14:textId="65D4C0B5">
      <w:pPr>
        <w:pStyle w:val="Textbody1"/>
        <w:numPr>
          <w:ilvl w:val="0"/>
          <w:numId w:val="1"/>
        </w:numPr>
        <w:rPr>
          <w:rFonts w:ascii="Arial" w:hAnsi="Arial"/>
        </w:rPr>
      </w:pPr>
      <w:r w:rsidRPr="05DD664D" w:rsidR="05DD664D">
        <w:rPr>
          <w:rFonts w:ascii="Arial" w:hAnsi="Arial"/>
        </w:rPr>
        <w:t>degradation or loss of information integrity – such as improper alteration or destruction of confidential data</w:t>
      </w:r>
    </w:p>
    <w:p xmlns:wp14="http://schemas.microsoft.com/office/word/2010/wordml" w14:paraId="45EADFFD" wp14:textId="679E8109">
      <w:pPr>
        <w:pStyle w:val="Textbody1"/>
        <w:rPr>
          <w:rFonts w:ascii="Arial" w:hAnsi="Arial"/>
        </w:rPr>
      </w:pPr>
      <w:r w:rsidRPr="05DD664D" w:rsidR="05DD664D">
        <w:rPr>
          <w:rFonts w:ascii="Arial" w:hAnsi="Arial"/>
        </w:rPr>
        <w:t xml:space="preserve">We’re committed to conducting business in compliance with all applicable laws, regulations and our own policies. </w:t>
      </w:r>
    </w:p>
    <w:p xmlns:wp14="http://schemas.microsoft.com/office/word/2010/wordml" w14:paraId="0D0B940D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43CB73D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>The following events may be audited:</w:t>
      </w:r>
    </w:p>
    <w:p xmlns:wp14="http://schemas.microsoft.com/office/word/2010/wordml" w:rsidP="05DD664D" w14:paraId="1D5DD822" wp14:textId="0FD7AF62">
      <w:pPr>
        <w:pStyle w:val="Textbody1"/>
        <w:numPr>
          <w:ilvl w:val="0"/>
          <w:numId w:val="2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normal system events – such as start-up, shutdown, login attempts, errors, security policy changes, software installations</w:t>
      </w:r>
    </w:p>
    <w:p xmlns:wp14="http://schemas.microsoft.com/office/word/2010/wordml" w:rsidP="05DD664D" w14:paraId="25B82494" wp14:textId="7B2E45CB">
      <w:pPr>
        <w:pStyle w:val="Textbody1"/>
        <w:numPr>
          <w:ilvl w:val="0"/>
          <w:numId w:val="2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information changes (create, read, update, delete) that include confidential data</w:t>
      </w:r>
    </w:p>
    <w:p xmlns:wp14="http://schemas.microsoft.com/office/word/2010/wordml" w:rsidP="05DD664D" w14:paraId="15052348" wp14:textId="6F8F72CF">
      <w:pPr>
        <w:pStyle w:val="Textbody1"/>
        <w:numPr>
          <w:ilvl w:val="0"/>
          <w:numId w:val="2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unauthorized access to confidential data for non-permitted purposes</w:t>
      </w:r>
    </w:p>
    <w:p xmlns:wp14="http://schemas.microsoft.com/office/word/2010/wordml" w:rsidP="05DD664D" w14:paraId="35E92B30" wp14:textId="700193D9">
      <w:pPr>
        <w:pStyle w:val="Textbody1"/>
        <w:numPr>
          <w:ilvl w:val="0"/>
          <w:numId w:val="2"/>
        </w:numPr>
        <w:spacing w:after="0" w:afterAutospacing="off"/>
        <w:rPr>
          <w:rFonts w:ascii="Arial" w:hAnsi="Arial"/>
        </w:rPr>
      </w:pPr>
      <w:r w:rsidRPr="05DD664D" w:rsidR="05DD664D">
        <w:rPr>
          <w:rFonts w:ascii="Arial" w:hAnsi="Arial"/>
        </w:rPr>
        <w:t>system management activities – including execution of privileged functions</w:t>
      </w:r>
    </w:p>
    <w:p xmlns:wp14="http://schemas.microsoft.com/office/word/2010/wordml" w:rsidP="05DD664D" w14:paraId="1CACD355" wp14:textId="0431EF67">
      <w:pPr>
        <w:pStyle w:val="Textbody1"/>
        <w:numPr>
          <w:ilvl w:val="0"/>
          <w:numId w:val="2"/>
        </w:numPr>
        <w:spacing w:after="0" w:afterAutospacing="off"/>
        <w:rPr>
          <w:rFonts w:ascii="Georgia" w:hAnsi="Georgia"/>
        </w:rPr>
      </w:pPr>
      <w:r w:rsidRPr="05DD664D" w:rsidR="05DD664D">
        <w:rPr>
          <w:rFonts w:ascii="Arial" w:hAnsi="Arial"/>
        </w:rPr>
        <w:t>information exchanges containing confidential data</w:t>
      </w:r>
    </w:p>
    <w:p xmlns:wp14="http://schemas.microsoft.com/office/word/2010/wordml" w14:paraId="2FDA113D" wp14:textId="39A95315">
      <w:pPr>
        <w:pStyle w:val="Textbody1"/>
        <w:numPr>
          <w:ilvl w:val="0"/>
          <w:numId w:val="2"/>
        </w:numPr>
        <w:rPr>
          <w:rFonts w:ascii="Georgia" w:hAnsi="Georgia"/>
        </w:rPr>
      </w:pPr>
      <w:r w:rsidRPr="05DD664D" w:rsidR="05DD664D">
        <w:rPr>
          <w:rFonts w:ascii="Arial" w:hAnsi="Arial"/>
        </w:rPr>
        <w:t>activities relating to administration account(s)</w:t>
      </w:r>
    </w:p>
    <w:p xmlns:wp14="http://schemas.microsoft.com/office/word/2010/wordml" w14:paraId="0E27B00A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71B3F01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Audit Record Retention:</w:t>
      </w:r>
    </w:p>
    <w:p xmlns:wp14="http://schemas.microsoft.com/office/word/2010/wordml" w14:paraId="01C77605" wp14:textId="0C630F21">
      <w:pPr>
        <w:pStyle w:val="Textbody1"/>
        <w:rPr>
          <w:rFonts w:ascii="Arial" w:hAnsi="Arial"/>
        </w:rPr>
      </w:pPr>
      <w:r w:rsidRPr="05DD664D" w:rsidR="05DD664D">
        <w:rPr>
          <w:rFonts w:ascii="Arial" w:hAnsi="Arial"/>
        </w:rPr>
        <w:t>Audit records shall be retained and archived for a minimum of 7 years.</w:t>
      </w:r>
    </w:p>
    <w:p xmlns:wp14="http://schemas.microsoft.com/office/word/2010/wordml" w14:paraId="60061E4C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B3AAE9D" wp14:textId="77777777">
      <w:pPr>
        <w:pStyle w:val="Heading2"/>
        <w:rPr/>
      </w:pPr>
      <w:r w:rsidR="05DD664D">
        <w:rPr/>
        <w:t>Exceptions</w:t>
      </w:r>
    </w:p>
    <w:p w:rsidR="05DD664D" w:rsidP="05DD664D" w:rsidRDefault="05DD664D" w14:paraId="30EBB7CA" w14:textId="57FEB694">
      <w:pPr>
        <w:pStyle w:val="Normal"/>
        <w:spacing w:before="0" w:after="14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Exceptions to the guiding principles in this policy must be documented and formally approved by the </w:t>
      </w: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&lt;role&gt;</w:t>
      </w: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 and the </w:t>
      </w: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&lt;organisation&gt;</w:t>
      </w: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. </w:t>
      </w:r>
    </w:p>
    <w:p w:rsidR="05DD664D" w:rsidP="05DD664D" w:rsidRDefault="05DD664D" w14:paraId="593E8C13" w14:textId="2D0EEDCD">
      <w:pPr>
        <w:pStyle w:val="Normal"/>
        <w:spacing w:before="0" w:after="14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Policy exceptions must describe:</w:t>
      </w:r>
    </w:p>
    <w:p w:rsidR="05DD664D" w:rsidP="05DD664D" w:rsidRDefault="05DD664D" w14:paraId="6466A109" w14:textId="3369C85B">
      <w:pPr>
        <w:pStyle w:val="ListParagraph"/>
        <w:numPr>
          <w:ilvl w:val="0"/>
          <w:numId w:val="3"/>
        </w:numPr>
        <w:spacing w:before="24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the nature of the exception</w:t>
      </w:r>
    </w:p>
    <w:p w:rsidR="05DD664D" w:rsidP="05DD664D" w:rsidRDefault="05DD664D" w14:paraId="18395ACE" w14:textId="1710843A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a reasonable explanation for why the policy exception is required</w:t>
      </w:r>
    </w:p>
    <w:p w:rsidR="05DD664D" w:rsidP="05DD664D" w:rsidRDefault="05DD664D" w14:paraId="0A5B2B39" w14:textId="78F97A79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any risks created by the policy exception</w:t>
      </w:r>
    </w:p>
    <w:p w:rsidR="05DD664D" w:rsidP="05DD664D" w:rsidRDefault="05DD664D" w14:paraId="1F743675" w14:textId="6D318BD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05DD664D" w:rsidR="05D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evidence of approval by all appropriate parties</w:t>
      </w:r>
    </w:p>
    <w:p xmlns:wp14="http://schemas.microsoft.com/office/word/2010/wordml" w14:paraId="44EAFD9C" wp14:textId="77777777">
      <w:pPr>
        <w:pStyle w:val="Textbody1"/>
        <w:spacing w:before="0" w:after="140" w:line="276" w:lineRule="auto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DEEC669" wp14:textId="2563836C">
      <w:pPr>
        <w:pStyle w:val="Textbody1"/>
        <w:spacing w:before="0" w:after="140" w:line="276" w:lineRule="auto"/>
        <w:rPr>
          <w:rFonts w:ascii="Arial" w:hAnsi="Arial"/>
        </w:rPr>
      </w:pPr>
      <w:r w:rsidRPr="05DD664D" w:rsidR="05DD664D">
        <w:rPr>
          <w:rFonts w:ascii="Arial" w:hAnsi="Arial"/>
        </w:rPr>
        <w:t xml:space="preserve">Review of this policy: this will be reviewed annually by the </w:t>
      </w:r>
      <w:r w:rsidRPr="05DD664D" w:rsidR="05DD664D">
        <w:rPr>
          <w:rFonts w:ascii="Arial" w:hAnsi="Arial"/>
          <w:highlight w:val="yellow"/>
        </w:rPr>
        <w:t>&lt;role&gt;</w:t>
      </w:r>
      <w:r w:rsidRPr="05DD664D" w:rsidR="05DD664D">
        <w:rPr>
          <w:rFonts w:ascii="Arial" w:hAnsi="Arial"/>
        </w:rPr>
        <w:t>.</w:t>
      </w:r>
    </w:p>
    <w:p xmlns:wp14="http://schemas.microsoft.com/office/word/2010/wordml" w14:paraId="74060AF8" wp14:textId="24CB48D4">
      <w:pPr>
        <w:pStyle w:val="Textbody1"/>
        <w:spacing w:before="0" w:after="140" w:line="276" w:lineRule="auto"/>
        <w:rPr>
          <w:rFonts w:ascii="Arial" w:hAnsi="Arial"/>
        </w:rPr>
      </w:pPr>
      <w:r w:rsidRPr="05DD664D" w:rsidR="05DD664D">
        <w:rPr>
          <w:rFonts w:ascii="Arial" w:hAnsi="Arial"/>
        </w:rPr>
        <w:t xml:space="preserve">Next review date: </w:t>
      </w:r>
      <w:r w:rsidRPr="05DD664D" w:rsidR="05DD664D">
        <w:rPr>
          <w:rFonts w:ascii="Arial" w:hAnsi="Arial"/>
          <w:highlight w:val="yellow"/>
        </w:rPr>
        <w:t>&lt;date month year&gt;</w:t>
      </w: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25863BB" wp14:textId="77777777">
    <w:pPr>
      <w:pStyle w:val="Footer"/>
      <w:jc w:val="right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>DATE:                                 ……….</w:t>
    </w:r>
  </w:p>
  <w:p xmlns:wp14="http://schemas.microsoft.com/office/word/2010/wordml" w14:paraId="3656B9AB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7">
    <w:abstractNumId w:val="7"/>
  </w: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420"/>
  <w:autoHyphenation w:val="false"/>
  <w:compat/>
  <w:themeFontLang w:val="" w:eastAsia="" w:bidi=""/>
  <w14:docId w14:val="0BACF8A4"/>
  <w15:docId w15:val="{15950174-E8CC-44D7-8CAF-F44968188C47}"/>
  <w:rsids>
    <w:rsidRoot w:val="03A3501B"/>
    <w:rsid w:val="03A3501B"/>
    <w:rsid w:val="05DD664D"/>
    <w:rsid w:val="090DC6A6"/>
    <w:rsid w:val="0CA224F3"/>
    <w:rsid w:val="115C6DB9"/>
    <w:rsid w:val="12DF488E"/>
    <w:rsid w:val="15632619"/>
    <w:rsid w:val="298590EE"/>
    <w:rsid w:val="2E590211"/>
    <w:rsid w:val="2F218CEF"/>
    <w:rsid w:val="3C059F9D"/>
    <w:rsid w:val="3E55FD7E"/>
    <w:rsid w:val="43A74BAC"/>
    <w:rsid w:val="4B237880"/>
    <w:rsid w:val="4B237880"/>
    <w:rsid w:val="4D0F865A"/>
    <w:rsid w:val="4EAB56BB"/>
    <w:rsid w:val="500FDF2F"/>
    <w:rsid w:val="50D86A0D"/>
    <w:rsid w:val="54B13269"/>
    <w:rsid w:val="57E8D32B"/>
    <w:rsid w:val="58ED9E24"/>
    <w:rsid w:val="5A896E85"/>
    <w:rsid w:val="5DC8FCCD"/>
    <w:rsid w:val="646F863E"/>
    <w:rsid w:val="6F61C89B"/>
    <w:rsid w:val="7116C159"/>
    <w:rsid w:val="728073D1"/>
    <w:rsid w:val="79FC6DD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Noto Sans CJK SC" w:cs="Lohit Devanagari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erChar">
    <w:name w:val="Header Char"/>
    <w:basedOn w:val="DefaultParagraphFont"/>
    <w:qFormat/>
    <w:rPr>
      <w:rFonts w:cs="Mangal"/>
      <w:szCs w:val="21"/>
    </w:rPr>
  </w:style>
  <w:style w:type="character" w:styleId="FooterChar">
    <w:name w:val="Footer Char"/>
    <w:basedOn w:val="DefaultParagraphFont"/>
    <w:qFormat/>
    <w:rPr>
      <w:rFonts w:cs="Mangal"/>
      <w:szCs w:val="21"/>
    </w:rPr>
  </w:style>
  <w:style w:type="character" w:styleId="BalloonTextChar">
    <w:name w:val="Balloon Text Char"/>
    <w:basedOn w:val="DefaultParagraphFont"/>
    <w:qFormat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rFonts w:eastAsia="OpenSymbol" w:cs="OpenSymbol"/>
    </w:rPr>
  </w:style>
  <w:style w:type="character" w:styleId="ListLabel42">
    <w:name w:val="ListLabel 42"/>
    <w:qFormat/>
    <w:rPr>
      <w:rFonts w:eastAsia="OpenSymbol" w:cs="OpenSymbol"/>
    </w:rPr>
  </w:style>
  <w:style w:type="character" w:styleId="ListLabel43">
    <w:name w:val="ListLabel 43"/>
    <w:qFormat/>
    <w:rPr>
      <w:rFonts w:eastAsia="OpenSymbol" w:cs="OpenSymbol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ascii="Georgia" w:hAnsi="Georgia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Georgia" w:hAnsi="Georgia" w:cs="Symbol"/>
      <w:sz w:val="24"/>
    </w:rPr>
  </w:style>
  <w:style w:type="character" w:styleId="ListLabel71">
    <w:name w:val="ListLabel 71"/>
    <w:qFormat/>
    <w:rPr>
      <w:rFonts w:ascii="Georgia" w:hAnsi="Georgia"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NormalIndentChar">
    <w:name w:val="Normal Inden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4Char">
    <w:name w:val="Heading 4 Char"/>
    <w:basedOn w:val="DefaultParagraphFont"/>
    <w:qFormat/>
    <w:rPr>
      <w:rFonts w:ascii="Cambria" w:hAnsi="Cambria" w:eastAsia="Noto Sans CJK SC" w:cs="Lohit Devanagari"/>
      <w:b/>
      <w:bCs/>
      <w:i/>
      <w:iCs/>
      <w:color w:val="4F81BD"/>
      <w:sz w:val="24"/>
    </w:rPr>
  </w:style>
  <w:style w:type="character" w:styleId="Heading3Char">
    <w:name w:val="Heading 3 Char"/>
    <w:basedOn w:val="DefaultParagraphFont"/>
    <w:qFormat/>
    <w:rPr>
      <w:rFonts w:ascii="Cambria" w:hAnsi="Cambria" w:eastAsia="Noto Sans CJK SC" w:cs="Lohit Devanagari"/>
      <w:b/>
      <w:bCs/>
      <w:color w:val="4F81BD"/>
      <w:sz w:val="24"/>
    </w:rPr>
  </w:style>
  <w:style w:type="character" w:styleId="PlainTextChar">
    <w:name w:val="Plain Text Char"/>
    <w:basedOn w:val="DefaultParagraphFont"/>
    <w:qFormat/>
    <w:rPr>
      <w:rFonts w:ascii="Courier New" w:hAnsi="Courier New" w:eastAsia="Times New Roman" w:cs="Times New Roman"/>
      <w:sz w:val="20"/>
      <w:szCs w:val="20"/>
    </w:rPr>
  </w:style>
  <w:style w:type="character" w:styleId="Heading1Char">
    <w:name w:val="Heading 1 Char"/>
    <w:basedOn w:val="DefaultParagraphFont"/>
    <w:qFormat/>
    <w:rPr>
      <w:rFonts w:ascii="Cambria" w:hAnsi="Cambria" w:eastAsia="Noto Sans CJK SC" w:cs="Lohit Devanagari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79">
    <w:name w:val="ListLabel 79"/>
    <w:qFormat/>
    <w:rPr>
      <w:rFonts w:ascii="Georgia" w:hAnsi="Georgia" w:cs="Symbol"/>
      <w:sz w:val="24"/>
    </w:rPr>
  </w:style>
  <w:style w:type="character" w:styleId="ListLabel80">
    <w:name w:val="ListLabel 80"/>
    <w:qFormat/>
    <w:rPr>
      <w:rFonts w:ascii="Georgia" w:hAnsi="Georgia"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Georgia" w:hAnsi="Georgia"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Georgia" w:hAnsi="Georgia"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Georgia" w:hAnsi="Georgia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Georgia" w:hAnsi="Georgia"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Georgia" w:hAnsi="Georgia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Georgia" w:hAnsi="Georgia"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Georgia" w:hAnsi="Georgia"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Georgia" w:hAnsi="Georgia"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Georgia" w:hAnsi="Georgia"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Georgia" w:hAnsi="Georgia"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Georgia" w:hAnsi="Georgia"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ascii="Georgia" w:hAnsi="Georgia"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Georgia" w:hAnsi="Georgia"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ascii="Georgia" w:hAnsi="Georgia"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Georgia" w:hAnsi="Georgia"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Georgia" w:hAnsi="Georgia"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ascii="Georgia" w:hAnsi="Georgia"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Georgia" w:hAnsi="Georgia"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Georgia" w:hAnsi="Georgia"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ascii="Georgia" w:hAnsi="Georgia"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Arial" w:hAnsi="Arial"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ascii="Georgia" w:hAnsi="Georgia"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Arial" w:hAnsi="Arial"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ascii="Georgia" w:hAnsi="Georgia"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widowControl/>
      <w:overflowPunct w:val="tru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GB" w:eastAsia="zh-CN" w:bidi="hi-IN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Normal"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widowControl/>
      <w:suppressLineNumbers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>
    <w:name w:val="Text body"/>
    <w:basedOn w:val="Standard"/>
    <w:qFormat/>
    <w:pPr>
      <w:spacing w:before="0" w:after="140" w:line="276" w:lineRule="auto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qFormat/>
    <w:pPr>
      <w:suppressAutoHyphens w:val="false"/>
      <w:spacing w:before="0" w:after="160" w:line="259" w:lineRule="auto"/>
      <w:ind w:left="720" w:right="0" w:hanging="0"/>
      <w:contextualSpacing/>
      <w:textAlignment w:val="auto"/>
    </w:pPr>
    <w:rPr>
      <w:rFonts w:ascii="Calibri" w:hAnsi="Calibri" w:eastAsia="Calibri" w:cs="Lohit Devanagari"/>
      <w:kern w:val="0"/>
      <w:sz w:val="22"/>
      <w:szCs w:val="22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NormalIndent">
    <w:name w:val="Normal Indent"/>
    <w:basedOn w:val="Normal"/>
    <w:qFormat/>
    <w:pPr>
      <w:tabs>
        <w:tab w:val="left" w:leader="none" w:pos="432"/>
      </w:tabs>
      <w:spacing w:before="0" w:after="0" w:line="240" w:lineRule="auto"/>
      <w:ind w:left="432" w:right="0" w:hanging="0"/>
    </w:pPr>
    <w:rPr>
      <w:rFonts w:eastAsia="Times New Roman" w:cs="Times New Roman"/>
      <w:szCs w:val="24"/>
    </w:rPr>
  </w:style>
  <w:style w:type="paragraph" w:styleId="PlainText">
    <w:name w:val="Plain Text"/>
    <w:basedOn w:val="Normal"/>
    <w:qFormat/>
    <w:pPr>
      <w:spacing w:before="0" w:after="0" w:line="240" w:lineRule="auto"/>
    </w:pPr>
    <w:rPr>
      <w:rFonts w:ascii="Courier New" w:hAnsi="Courier New" w:eastAsia="Times New Roman" w:cs="Times New Roman"/>
      <w:sz w:val="20"/>
      <w:szCs w:val="20"/>
    </w:rPr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497D1AE5066469DDD17F4C4DE4B8C" ma:contentTypeVersion="4" ma:contentTypeDescription="Create a new document." ma:contentTypeScope="" ma:versionID="ecd8b7f5857d1155a920b156a105b6c6">
  <xsd:schema xmlns:xsd="http://www.w3.org/2001/XMLSchema" xmlns:xs="http://www.w3.org/2001/XMLSchema" xmlns:p="http://schemas.microsoft.com/office/2006/metadata/properties" xmlns:ns2="e85cf235-9003-4f5a-a3b9-a5718ecdcfd1" targetNamespace="http://schemas.microsoft.com/office/2006/metadata/properties" ma:root="true" ma:fieldsID="49bfb2e14db1fc2d0b45bc3f3969cc32" ns2:_="">
    <xsd:import namespace="e85cf235-9003-4f5a-a3b9-a5718ecdc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cf235-9003-4f5a-a3b9-a5718ecd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E2224-7D0F-4AD7-B746-F58AF4D58BA7}"/>
</file>

<file path=customXml/itemProps2.xml><?xml version="1.0" encoding="utf-8"?>
<ds:datastoreItem xmlns:ds="http://schemas.openxmlformats.org/officeDocument/2006/customXml" ds:itemID="{0A725CB7-0B4B-4342-95EF-8FE65F4591C4}"/>
</file>

<file path=customXml/itemProps3.xml><?xml version="1.0" encoding="utf-8"?>
<ds:datastoreItem xmlns:ds="http://schemas.openxmlformats.org/officeDocument/2006/customXml" ds:itemID="{34543B2C-D075-4846-880F-F59DBB5326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Moore</dc:creator>
  <dc:description/>
  <cp:lastModifiedBy>Justine Young</cp:lastModifiedBy>
  <cp:revision>53</cp:revision>
  <dcterms:created xsi:type="dcterms:W3CDTF">2021-06-15T14:19:00Z</dcterms:created>
  <dcterms:modified xsi:type="dcterms:W3CDTF">2022-03-22T12:17:56Z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0x01010001F497D1AE5066469DDD17F4C4DE4B8C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69200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ReviewdbyJon">
    <vt:bool>false</vt:bool>
  </property>
</Properties>
</file>