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p>
      <w:pPr>
        <w:pStyle w:val="BodyText"/>
      </w:pPr>
    </w:p>
    <w:bookmarkStart w:id="20" w:name="overview"/>
    <w:p>
      <w:pPr>
        <w:pStyle w:val="Heading2"/>
      </w:pPr>
      <w:r>
        <w:t xml:space="preserve">Overview</w:t>
      </w:r>
    </w:p>
    <w:p>
      <w:pPr>
        <w:pStyle w:val="FirstParagraph"/>
      </w:pPr>
    </w:p>
    <w:bookmarkEnd w:id="20"/>
    <w:bookmarkStart w:id="22" w:name="introduction"/>
    <w:p>
      <w:pPr>
        <w:pStyle w:val="Heading2"/>
      </w:pPr>
      <w:r>
        <w:t xml:space="preserve">Introduction</w:t>
      </w:r>
    </w:p>
    <w:p>
      <w:pPr>
        <w:pStyle w:val="FirstParagraph"/>
      </w:pPr>
      <w:r>
        <w:t xml:space="preserve">The</w:t>
      </w:r>
      <w:r>
        <w:t xml:space="preserve"> </w:t>
      </w:r>
      <w:hyperlink r:id="rId21">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 IL3 REST*. This is an older classification standard. In general, 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p>
    <w:bookmarkEnd w:id="22"/>
    <w:bookmarkStart w:id="23" w:name="scope"/>
    <w:p>
      <w:pPr>
        <w:pStyle w:val="Heading2"/>
      </w:pPr>
      <w:r>
        <w:t xml:space="preserve">Scope</w:t>
      </w:r>
    </w:p>
    <w:p>
      <w:pPr>
        <w:pStyle w:val="FirstParagraph"/>
      </w:pPr>
      <w:r>
        <w:t xml:space="preserve">The MoJ Information Assurance (IA) team provide general guidance on the handling of protectively marked data, whilst this document concentrates on providing guidance on information stored on MoJ IT systems and exchanged electronically within the MoJ and with external parties.</w:t>
      </w:r>
    </w:p>
    <w:p>
      <w:pPr>
        <w:pStyle w:val="BodyText"/>
      </w:pPr>
      <w:r>
        <w:t xml:space="preserve">This guide is split into three sections:</w:t>
      </w:r>
    </w:p>
    <w:p>
      <w:pPr>
        <w:numPr>
          <w:ilvl w:val="0"/>
          <w:numId w:val="1001"/>
        </w:numPr>
        <w:pStyle w:val="Compact"/>
      </w:pPr>
      <w:r>
        <w:t xml:space="preserve">Handling data on MoJ 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 MoJ IT system to another MoJ IT system or external party. Further details on the form can be found</w:t>
      </w:r>
      <w:r>
        <w:t xml:space="preserve"> </w:t>
      </w:r>
      <w:hyperlink w:anchor="data-movement-form-dmf">
        <w:r>
          <w:rPr>
            <w:rStyle w:val="Hyperlink"/>
          </w:rPr>
          <w:t xml:space="preserve">here</w:t>
        </w:r>
      </w:hyperlink>
      <w:r>
        <w:t xml:space="preserve">.</w:t>
      </w:r>
    </w:p>
    <w:p>
      <w:pPr>
        <w:pStyle w:val="BodyText"/>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 must be sought from the MoJ Operation Security Team (OST) and MoJ IT Security Officer (ITSO).</w:t>
      </w:r>
    </w:p>
    <w:p>
      <w:pPr>
        <w:pStyle w:val="BodyText"/>
      </w:pPr>
    </w:p>
    <w:bookmarkEnd w:id="23"/>
    <w:bookmarkStart w:id="24" w:name="handling-data-on-moj-it-systems"/>
    <w:p>
      <w:pPr>
        <w:pStyle w:val="Heading2"/>
      </w:pPr>
      <w:r>
        <w:t xml:space="preserve">Handling data on MoJ IT systems</w:t>
      </w:r>
    </w:p>
    <w:p>
      <w:pPr>
        <w:pStyle w:val="FirstParagraph"/>
      </w:pPr>
      <w:r>
        <w:t xml:space="preserve">This section covers how data must 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p>
    <w:bookmarkEnd w:id="24"/>
    <w:bookmarkStart w:id="25" w:name="ownership-of-information"/>
    <w:p>
      <w:pPr>
        <w:pStyle w:val="Heading2"/>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 must ensure that information for which they are responsible for is appropriately handled, and where there is a business requirement to share it with a 3rd party, that it is shared in a safe and secure manner.</w:t>
      </w:r>
    </w:p>
    <w:p>
      <w:pPr>
        <w:pStyle w:val="BodyText"/>
      </w:pPr>
    </w:p>
    <w:bookmarkEnd w:id="25"/>
    <w:bookmarkStart w:id="26" w:name="electronic-data-transfer-and-storage"/>
    <w:p>
      <w:pPr>
        <w:pStyle w:val="Heading2"/>
      </w:pPr>
      <w:r>
        <w:t xml:space="preserve">Electronic data transfer and storage</w:t>
      </w:r>
    </w:p>
    <w:p>
      <w:pPr>
        <w:pStyle w:val="FirstParagraph"/>
      </w:pPr>
      <w:r>
        <w:t xml:space="preserve">Data must 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p>
    <w:bookmarkEnd w:id="26"/>
    <w:bookmarkStart w:id="27" w:name="data-in-transit"/>
    <w:p>
      <w:pPr>
        <w:pStyle w:val="Heading2"/>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p>
    <w:bookmarkEnd w:id="27"/>
    <w:bookmarkStart w:id="28" w:name="X8ef8b04430fe9df3480c07d4379c9090c34462e"/>
    <w:p>
      <w:pPr>
        <w:pStyle w:val="Heading2"/>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 MoJ Chief Information Security Office (CISO) when required.</w:t>
      </w:r>
    </w:p>
    <w:p>
      <w:pPr>
        <w:pStyle w:val="BodyText"/>
      </w:pPr>
    </w:p>
    <w:bookmarkEnd w:id="28"/>
    <w:bookmarkStart w:id="31" w:name="usb-mass-storage-device"/>
    <w:p>
      <w:pPr>
        <w:pStyle w:val="Heading2"/>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9">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 must be sought from the Operational Security Team:</w:t>
      </w:r>
      <w:r>
        <w:t xml:space="preserve"> </w:t>
      </w:r>
      <w:hyperlink r:id="rId30">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p>
    <w:bookmarkEnd w:id="31"/>
    <w:bookmarkStart w:id="32" w:name="optical-media"/>
    <w:p>
      <w:pPr>
        <w:pStyle w:val="Heading2"/>
      </w:pPr>
      <w:r>
        <w:t xml:space="preserve">Optical media</w:t>
      </w:r>
    </w:p>
    <w:p>
      <w:pPr>
        <w:pStyle w:val="FirstParagraph"/>
      </w:pPr>
      <w:r>
        <w:t xml:space="preserve">The use of optical media (i.e. CD/DVD) is not recommended for data transfer.</w:t>
      </w:r>
    </w:p>
    <w:p>
      <w:pPr>
        <w:pStyle w:val="BodyText"/>
      </w:pPr>
    </w:p>
    <w:bookmarkEnd w:id="32"/>
    <w:bookmarkStart w:id="33" w:name="data-at-rest-on-moj-issued-laptops"/>
    <w:p>
      <w:pPr>
        <w:pStyle w:val="Heading2"/>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p>
    <w:bookmarkEnd w:id="33"/>
    <w:bookmarkStart w:id="35" w:name="disposal-and-decommissioning"/>
    <w:p>
      <w:pPr>
        <w:pStyle w:val="Heading2"/>
      </w:pPr>
      <w:r>
        <w:t xml:space="preserve">Disposal and decommissioning</w:t>
      </w:r>
    </w:p>
    <w:p>
      <w:pPr>
        <w:pStyle w:val="FirstParagraph"/>
      </w:pPr>
      <w:r>
        <w:t xml:space="preserve">Sensitive data must not be kept for longer than is needed. The IAO must check for compliance, including any mandatory retention period.</w:t>
      </w:r>
    </w:p>
    <w:p>
      <w:pPr>
        <w:pStyle w:val="BodyText"/>
      </w:pPr>
      <w:r>
        <w:t xml:space="preserve">Physical media containing sensitive data must 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4">
        <w:r>
          <w:rPr>
            <w:rStyle w:val="Hyperlink"/>
          </w:rPr>
          <w:t xml:space="preserve">Secure Disposal of IT Equipment</w:t>
        </w:r>
      </w:hyperlink>
      <w:r>
        <w:t xml:space="preserve"> </w:t>
      </w:r>
      <w:r>
        <w:t xml:space="preserve">guidance.</w:t>
      </w:r>
    </w:p>
    <w:p>
      <w:pPr>
        <w:pStyle w:val="BodyText"/>
      </w:pPr>
    </w:p>
    <w:bookmarkEnd w:id="35"/>
    <w:bookmarkStart w:id="36" w:name="information-sharing"/>
    <w:p>
      <w:pPr>
        <w:pStyle w:val="Heading2"/>
      </w:pPr>
      <w:r>
        <w:t xml:space="preserve">Information sharing</w:t>
      </w:r>
    </w:p>
    <w:p>
      <w:pPr>
        <w:pStyle w:val="FirstParagraph"/>
      </w:pPr>
    </w:p>
    <w:bookmarkEnd w:id="36"/>
    <w:bookmarkStart w:id="37" w:name="general-principles"/>
    <w:p>
      <w:pPr>
        <w:pStyle w:val="Heading2"/>
      </w:pPr>
      <w:r>
        <w:t xml:space="preserve">General principles</w:t>
      </w:r>
    </w:p>
    <w:p>
      <w:pPr>
        <w:pStyle w:val="FirstParagraph"/>
      </w:pPr>
      <w:r>
        <w:t xml:space="preserve">Where there is a business need to transfer sensitive data, 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 The sensitivity of data must never be downgraded in order to send it over inadequately protected channels, or to send it to a recipient who does not have an appropriate facility to protect it after it arrives.</w:t>
      </w:r>
    </w:p>
    <w:p>
      <w:pPr>
        <w:pStyle w:val="BodyText"/>
      </w:pPr>
    </w:p>
    <w:bookmarkEnd w:id="37"/>
    <w:bookmarkStart w:id="39" w:name="sharing-sensitive-information"/>
    <w:p>
      <w:pPr>
        <w:pStyle w:val="Heading2"/>
      </w:pPr>
      <w:r>
        <w:t xml:space="preserve">Sharing sensitive information</w:t>
      </w:r>
    </w:p>
    <w:p>
      <w:pPr>
        <w:pStyle w:val="FirstParagraph"/>
      </w:pPr>
      <w:r>
        <w:t xml:space="preserve">MoJ staff, including contractors and agency staff, 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 must avoid exposing sensitive data to unnecessary risks, in particular by observing all aspects of MoJ</w:t>
      </w:r>
      <w:r>
        <w:t xml:space="preserve"> </w:t>
      </w:r>
      <w:hyperlink r:id="rId38">
        <w:r>
          <w:rPr>
            <w:rStyle w:val="Hyperlink"/>
          </w:rPr>
          <w:t xml:space="preserve">Acceptable Use</w:t>
        </w:r>
      </w:hyperlink>
      <w:r>
        <w:t xml:space="preserve">.</w:t>
      </w:r>
    </w:p>
    <w:p>
      <w:pPr>
        <w:pStyle w:val="BodyText"/>
      </w:pPr>
      <w:r>
        <w:t xml:space="preserve">Authorisation must 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p>
    <w:bookmarkEnd w:id="39"/>
    <w:bookmarkStart w:id="40" w:name="internally-within-the-moj"/>
    <w:p>
      <w:pPr>
        <w:pStyle w:val="Heading2"/>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p>
    <w:bookmarkEnd w:id="40"/>
    <w:bookmarkStart w:id="41" w:name="X2ffca4b7bbff3cb279d5b1ac213f9c8a90826c0"/>
    <w:p>
      <w:pPr>
        <w:pStyle w:val="Heading2"/>
      </w:pPr>
      <w:r>
        <w:t xml:space="preserve">Information sharing with other HMG department</w:t>
      </w:r>
    </w:p>
    <w:p>
      <w:pPr>
        <w:pStyle w:val="FirstParagraph"/>
      </w:pPr>
      <w:r>
        <w:t xml:space="preserve">Information shared with another government department must be transferred to an assured system. This means the system must be assured to the same level as the data being transferred. The transfer must 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p>
    <w:bookmarkEnd w:id="41"/>
    <w:bookmarkStart w:id="42" w:name="X0f2a9d310de8d81b98f8c185127ba332806823f"/>
    <w:p>
      <w:pPr>
        <w:pStyle w:val="Heading2"/>
      </w:pPr>
      <w:r>
        <w:t xml:space="preserve">Information sharing with external 3rd parties</w:t>
      </w:r>
    </w:p>
    <w:p>
      <w:pPr>
        <w:pStyle w:val="FirstParagraph"/>
      </w:pPr>
      <w:r>
        <w:t xml:space="preserve">Any transfer of sensitive data to a 3rd party, including sub-contractors or service providers, must be authorised by the relevant IAO. An appropriate contract,</w:t>
      </w:r>
      <w:r>
        <w:t xml:space="preserve"> </w:t>
      </w:r>
      <w:hyperlink w:anchor="data-movement-form-dmf">
        <w:r>
          <w:rPr>
            <w:rStyle w:val="Hyperlink"/>
          </w:rPr>
          <w:t xml:space="preserve">Data Movement Form</w:t>
        </w:r>
      </w:hyperlink>
      <w:r>
        <w:t xml:space="preserve">, and Non-disclosure Agreement (NDA) must be in place prior to the transfer.</w:t>
      </w:r>
    </w:p>
    <w:p>
      <w:pPr>
        <w:pStyle w:val="BodyText"/>
      </w:pPr>
      <w:r>
        <w:t xml:space="preserve">Where the information is</w:t>
      </w:r>
      <w:r>
        <w:t xml:space="preserve"> </w:t>
      </w:r>
      <w:r>
        <w:rPr>
          <w:rStyle w:val="VerbatimChar"/>
        </w:rPr>
        <w:t xml:space="preserve">OFFICIAL-SENSITIVE</w:t>
      </w:r>
      <w:r>
        <w:t xml:space="preserve">, it must 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 using the guidance from this document, and seeking advice from Information Assurance and the MoJ CISO as required.</w:t>
      </w:r>
    </w:p>
    <w:p>
      <w:pPr>
        <w:pStyle w:val="BodyText"/>
      </w:pPr>
    </w:p>
    <w:bookmarkEnd w:id="42"/>
    <w:bookmarkStart w:id="43" w:name="sharing-across-an-unsecured-network"/>
    <w:p>
      <w:pPr>
        <w:pStyle w:val="Heading2"/>
      </w:pPr>
      <w:r>
        <w:t xml:space="preserve">Sharing across an unsecured network</w:t>
      </w:r>
    </w:p>
    <w:p>
      <w:pPr>
        <w:pStyle w:val="FirstParagraph"/>
      </w:pPr>
      <w:r>
        <w:t xml:space="preserve">Sensitive data must 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p>
    <w:bookmarkEnd w:id="43"/>
    <w:bookmarkStart w:id="44" w:name="X9697de87ee39da8ab6470877198787381d922bf"/>
    <w:p>
      <w:pPr>
        <w:pStyle w:val="Heading2"/>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p>
    <w:bookmarkEnd w:id="44"/>
    <w:bookmarkStart w:id="45" w:name="sharing-information-above-official"/>
    <w:p>
      <w:pPr>
        <w:pStyle w:val="Heading2"/>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 must be sought from the Operational Security Team:</w:t>
      </w:r>
      <w:r>
        <w:t xml:space="preserve"> </w:t>
      </w:r>
      <w:hyperlink r:id="rId30">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p>
    <w:bookmarkEnd w:id="45"/>
    <w:bookmarkStart w:id="46"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1">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p>
    <w:bookmarkEnd w:id="46"/>
    <w:bookmarkStart w:id="48"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 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7">
        <w:r>
          <w:rPr>
            <w:rStyle w:val="Hyperlink"/>
          </w:rPr>
          <w:t xml:space="preserve">available</w:t>
        </w:r>
      </w:hyperlink>
      <w:r>
        <w:t xml:space="preserve">.</w:t>
      </w:r>
    </w:p>
    <w:p>
      <w:pPr>
        <w:pStyle w:val="BodyText"/>
      </w:pPr>
    </w:p>
    <w:bookmarkEnd w:id="48"/>
    <w:bookmarkStart w:id="5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49">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50">
        <w:r>
          <w:rPr>
            <w:rStyle w:val="Hyperlink"/>
          </w:rPr>
          <w:t xml:space="preserve">informationmgmtsecurity@justice.gov.uk</w:t>
        </w:r>
      </w:hyperlink>
    </w:p>
    <w:p>
      <w:pPr>
        <w:numPr>
          <w:ilvl w:val="0"/>
          <w:numId w:val="1011"/>
        </w:numPr>
        <w:pStyle w:val="Compact"/>
      </w:pPr>
      <w:r>
        <w:t xml:space="preserve">Tel: 0203 334 0324</w:t>
      </w:r>
    </w:p>
    <w:p>
      <w:pPr>
        <w:pStyle w:val="FirstParagraph"/>
      </w:pPr>
    </w:p>
    <w:bookmarkEnd w:id="51"/>
    <w:bookmarkStart w:id="53"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 policy content</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30"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9" Target="removable-media.md" TargetMode="External" /><Relationship Type="http://schemas.openxmlformats.org/officeDocument/2006/relationships/hyperlink" Id="rId3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8"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30"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9" Target="removable-media.md" TargetMode="External" /><Relationship Type="http://schemas.openxmlformats.org/officeDocument/2006/relationships/hyperlink" Id="rId3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2021-06-14T10:07:28Z</dcterms:created>
  <dcterms:modified xsi:type="dcterms:W3CDTF">2021-06-14T10:07:28Z</dcterms:modified>
</cp:coreProperties>
</file>

<file path=docProps/custom.xml><?xml version="1.0" encoding="utf-8"?>
<Properties xmlns="http://schemas.openxmlformats.org/officeDocument/2006/custom-properties" xmlns:vt="http://schemas.openxmlformats.org/officeDocument/2006/docPropsVTypes"/>
</file>