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
        </w:rPr>
        <w:t xml:space="preserve">SHALL NOT</w:t>
      </w:r>
      <w:r>
        <w:t xml:space="preserve"> </w:t>
      </w:r>
      <w:r>
        <w:t xml:space="preserve">be kept for longer than is needed. The IAO</w:t>
      </w:r>
      <w:r>
        <w:t xml:space="preserve"> </w:t>
      </w:r>
      <w:r>
        <w:rPr>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
        </w:rPr>
        <w:t xml:space="preserve">SHALL</w:t>
      </w:r>
      <w:r>
        <w:t xml:space="preserve"> </w:t>
      </w:r>
      <w:r>
        <w:t xml:space="preserve">ensure that any data shared can be adequately secured by the recipient. The sensitivity of data</w:t>
      </w:r>
      <w:r>
        <w:t xml:space="preserve"> </w:t>
      </w:r>
      <w:r>
        <w:rPr>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
        </w:rPr>
        <w:t xml:space="preserve">SHALL</w:t>
      </w:r>
      <w:r>
        <w:t xml:space="preserve"> </w:t>
      </w:r>
      <w:r>
        <w:t xml:space="preserve">be transferred to an assured system. This means the system</w:t>
      </w:r>
      <w:r>
        <w:t xml:space="preserve"> </w:t>
      </w:r>
      <w:r>
        <w:rPr>
          <w:b/>
        </w:rPr>
        <w:t xml:space="preserve">SHALL</w:t>
      </w:r>
      <w:r>
        <w:t xml:space="preserve"> </w:t>
      </w:r>
      <w:r>
        <w:t xml:space="preserve">be assured to the same level as the data being transferred. The transfer</w:t>
      </w:r>
      <w:r>
        <w:t xml:space="preserve"> </w:t>
      </w:r>
      <w:r>
        <w:rPr>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Data Movement Form (DMF) is available on the</w:t>
      </w:r>
      <w:r>
        <w:t xml:space="preserve"> </w:t>
      </w:r>
      <w:hyperlink r:id="rId26">
        <w:r>
          <w:rPr>
            <w:rStyle w:val="Hyperlink"/>
          </w:rPr>
          <w:t xml:space="preserve">MoJ Intranet</w:t>
        </w:r>
      </w:hyperlink>
      <w:r>
        <w:t xml:space="preserve">.</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the Senior Information Risk Owner (SIRO).</w:t>
      </w:r>
    </w:p>
    <w:p>
      <w:pPr>
        <w:pStyle w:val="BodyText"/>
      </w:pPr>
      <w:r>
        <w:t xml:space="preserve">A DMF</w:t>
      </w:r>
      <w:r>
        <w:t xml:space="preserve"> </w:t>
      </w:r>
      <w:r>
        <w:rPr>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using a physical storage device to transfer the information. An example is where you use a</w:t>
      </w:r>
      <w:r>
        <w:t xml:space="preserve"> </w:t>
      </w:r>
      <w:r>
        <w:t xml:space="preserve">“</w:t>
      </w:r>
      <w:r>
        <w:t xml:space="preserve">memory stick</w:t>
      </w:r>
      <w:r>
        <w:t xml:space="preserve">”</w:t>
      </w:r>
      <w:r>
        <w:t xml:space="preserve">, a USB drive, a storage array, or some other removable media. The DMF in this scenario focuses on the data being moved or shared.</w:t>
      </w:r>
    </w:p>
    <w:p>
      <w:pPr>
        <w:numPr>
          <w:ilvl w:val="0"/>
          <w:numId w:val="1008"/>
        </w:numPr>
        <w:pStyle w:val="Compact"/>
      </w:pPr>
      <w:r>
        <w:t xml:space="preserve">Data is being moved or shared by electronic (network) communication, where the movement is from an MoJ IT system to an external party. An example is using secure file transfer or approved email to transfer the information. The DMF in this scenario focuses on the data being moved or shared.</w:t>
      </w:r>
    </w:p>
    <w:p>
      <w:pPr>
        <w:numPr>
          <w:ilvl w:val="0"/>
          <w:numId w:val="1008"/>
        </w:numPr>
        <w:pStyle w:val="Compact"/>
      </w:pPr>
      <w:r>
        <w:t xml:space="preserve">An asset (a</w:t>
      </w:r>
      <w:r>
        <w:t xml:space="preserve"> </w:t>
      </w:r>
      <w:r>
        <w:t xml:space="preserve">“</w:t>
      </w:r>
      <w:r>
        <w:t xml:space="preserve">data bearing asset</w:t>
      </w:r>
      <w:r>
        <w:t xml:space="preserve">”</w:t>
      </w:r>
      <w:r>
        <w:t xml:space="preserve">) is being moved to, or transported by, an external party. This might be as a result of an office move, or because the asset is being decommissioned. The asset might contain or process MoJ information. Examples of data bearing assets include laptops, servers, multi-functional devices, and any other data bearing peripherals. The DMF in this scenario focuses on the asset being moved or transported, rather than the MoJ information that the asset might contain or process.</w:t>
      </w:r>
    </w:p>
    <w:p>
      <w:pPr>
        <w:pStyle w:val="FirstParagraph"/>
      </w:pPr>
      <w:r>
        <w:t xml:space="preserve">A DMF</w:t>
      </w:r>
      <w:r>
        <w:t xml:space="preserve"> </w:t>
      </w:r>
      <w:r>
        <w:rPr>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numPr>
          <w:ilvl w:val="0"/>
          <w:numId w:val="1009"/>
        </w:numPr>
        <w:pStyle w:val="Compact"/>
      </w:pPr>
      <w:r>
        <w:t xml:space="preserve">An asset (a</w:t>
      </w:r>
      <w:r>
        <w:t xml:space="preserve"> </w:t>
      </w:r>
      <w:r>
        <w:t xml:space="preserve">“</w:t>
      </w:r>
      <w:r>
        <w:t xml:space="preserve">data bearing asset</w:t>
      </w:r>
      <w:r>
        <w:t xml:space="preserve">”</w:t>
      </w:r>
      <w:r>
        <w:t xml:space="preserve">) is being moved but remains within the MoJ or its supplier-provided and MoJ-approved facilities at all times.</w:t>
      </w:r>
    </w:p>
    <w:p>
      <w:pPr>
        <w:pStyle w:val="FirstParagraph"/>
      </w:pPr>
      <w:r>
        <w:rPr>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7">
        <w:r>
          <w:rPr>
            <w:rStyle w:val="Hyperlink"/>
          </w:rPr>
          <w:t xml:space="preserve">available</w:t>
        </w:r>
      </w:hyperlink>
      <w:r>
        <w:t xml:space="preserve">.</w:t>
      </w:r>
    </w:p>
    <w:p>
      <w:pPr>
        <w:pStyle w:val="BodyText"/>
      </w:pPr>
      <w:r>
        <w:t xml:space="preserve">##General enquiries, including theft and loss</w:t>
      </w:r>
    </w:p>
    <w:p>
      <w:pPr>
        <w:pStyle w:val="BodyText"/>
      </w:pPr>
      <w:r>
        <w:rPr>
          <w:b/>
        </w:rPr>
        <w:t xml:space="preserve">DOM1/Quantum - Technology Service Desk</w:t>
      </w:r>
    </w:p>
    <w:p>
      <w:pPr>
        <w:numPr>
          <w:ilvl w:val="0"/>
          <w:numId w:val="1011"/>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12"/>
        </w:numPr>
        <w:pStyle w:val="Compact"/>
      </w:pPr>
      <w:r>
        <w:t xml:space="preserve">Email:</w:t>
      </w:r>
      <w:r>
        <w:t xml:space="preserve"> </w:t>
      </w:r>
      <w:hyperlink r:id="rId28">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13"/>
        </w:numPr>
        <w:pStyle w:val="Compact"/>
      </w:pPr>
      <w:r>
        <w:t xml:space="preserve">Email:</w:t>
      </w:r>
      <w:r>
        <w:t xml:space="preserve"> </w:t>
      </w:r>
      <w:hyperlink r:id="rId29">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ptable-use.md" TargetMode="External" /><Relationship Type="http://schemas.openxmlformats.org/officeDocument/2006/relationships/hyperlink" Id="rId26" Target="downloads/data-movement-form.docx"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rvicedesk@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
<Relationships xmlns="http://schemas.openxmlformats.org/package/2006/relationships"><Relationship Type="http://schemas.openxmlformats.org/officeDocument/2006/relationships/hyperlink" Id="rId25" Target="acceptable-use.md" TargetMode="External" /><Relationship Type="http://schemas.openxmlformats.org/officeDocument/2006/relationships/hyperlink" Id="rId26" Target="downloads/data-movement-form.docx"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rvicedesk@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2021-07-01T15:07:49Z</dcterms:created>
  <dcterms:modified xsi:type="dcterms:W3CDTF">2021-07-01T15:07:49Z</dcterms:modified>
</cp:coreProperties>
</file>

<file path=docProps/custom.xml><?xml version="1.0" encoding="utf-8"?>
<Properties xmlns="http://schemas.openxmlformats.org/officeDocument/2006/custom-properties" xmlns:vt="http://schemas.openxmlformats.org/officeDocument/2006/docPropsVTypes"/>
</file>