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#Data Handling and Information Sharing Guide</w:t>
      </w:r>
    </w:p>
    <w:p>
      <w:pPr>
        <w:pStyle w:val="BodyText"/>
      </w:pPr>
      <w:r>
        <w:t xml:space="preserve">This guide is designed to help protect Ministry of Justice (MoJ) information held on MoJ IT systems, by providing guidance on how it should be handled and shared in a safe and secure manner.</w:t>
      </w:r>
    </w:p>
    <w:p>
      <w:pPr>
        <w:pStyle w:val="BodyText"/>
      </w:pPr>
      <w:r>
        <w:t xml:space="preserve">##Overview</w:t>
      </w:r>
    </w:p>
    <w:p>
      <w:pPr>
        <w:pStyle w:val="BodyText"/>
      </w:pPr>
      <w:r>
        <w:t xml:space="preserve">##Introduction</w:t>
      </w:r>
    </w:p>
    <w:p>
      <w:pPr>
        <w:pStyle w:val="BodyText"/>
      </w:pPr>
      <w:r>
        <w:t xml:space="preserve">The</w:t>
      </w:r>
      <w:r>
        <w:t xml:space="preserve"> </w:t>
      </w:r>
      <w:hyperlink r:id="rId20">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w:t>
      </w:r>
      <w:r>
        <w:t xml:space="preserve"> </w:t>
      </w:r>
      <w:r>
        <w:rPr>
          <w:bCs/>
          <w:b/>
        </w:rPr>
        <w:t xml:space="preserve">SHALL</w:t>
      </w:r>
      <w:r>
        <w:t xml:space="preserve"> </w:t>
      </w:r>
      <w:r>
        <w:t xml:space="preserve">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w:t>
      </w:r>
      <w:r>
        <w:t xml:space="preserve"> </w:t>
      </w:r>
      <w:r>
        <w:rPr>
          <w:bCs/>
          <w:b/>
        </w:rPr>
        <w:t xml:space="preserve">SHALL</w:t>
      </w:r>
      <w:r>
        <w:t xml:space="preserve"> </w:t>
      </w:r>
      <w:r>
        <w:t xml:space="preserve">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w:t>
      </w:r>
      <w:r>
        <w:t xml:space="preserve"> </w:t>
      </w:r>
      <w:r>
        <w:rPr>
          <w:rStyle w:val="VerbatimChar"/>
        </w:rPr>
        <w:t xml:space="preserve">IL3 REST*</w:t>
      </w:r>
      <w:r>
        <w:t xml:space="preserve">. This is an older classification standard. In general,</w:t>
      </w:r>
      <w:r>
        <w:t xml:space="preserve"> </w:t>
      </w:r>
      <w:r>
        <w:rPr>
          <w:rStyle w:val="VerbatimChar"/>
        </w:rPr>
        <w:t xml:space="preserve">IL3 REST*</w:t>
      </w:r>
      <w:r>
        <w:t xml:space="preserve"> </w:t>
      </w:r>
      <w:r>
        <w:t xml:space="preserve">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r>
        <w:t xml:space="preserve">##Scope</w:t>
      </w:r>
    </w:p>
    <w:p>
      <w:pPr>
        <w:pStyle w:val="BodyText"/>
      </w:pPr>
      <w:r>
        <w:t xml:space="preserve">This document provides guidance on handling or sharing information stored on MoJ IT systems, or exchanged electronically within the MoJ, or with external parties.</w:t>
      </w:r>
    </w:p>
    <w:p>
      <w:pPr>
        <w:pStyle w:val="BodyText"/>
      </w:pPr>
      <w:r>
        <w:t xml:space="preserve">The MoJ</w:t>
      </w:r>
      <w:r>
        <w:t xml:space="preserve"> </w:t>
      </w:r>
      <w:hyperlink r:id="rId21">
        <w:r>
          <w:rPr>
            <w:rStyle w:val="Hyperlink"/>
          </w:rPr>
          <w:t xml:space="preserve">Cyber Assistance Team</w:t>
        </w:r>
      </w:hyperlink>
      <w:r>
        <w:t xml:space="preserve"> </w:t>
      </w:r>
      <w:r>
        <w:t xml:space="preserve">can help you with more guidance on the handling of protectively marked data.</w:t>
      </w:r>
    </w:p>
    <w:p>
      <w:pPr>
        <w:pStyle w:val="BodyText"/>
      </w:pPr>
      <w:r>
        <w:t xml:space="preserve">This guide is split into three sections:</w:t>
      </w:r>
    </w:p>
    <w:p>
      <w:pPr>
        <w:numPr>
          <w:ilvl w:val="0"/>
          <w:numId w:val="1001"/>
        </w:numPr>
        <w:pStyle w:val="Compact"/>
      </w:pPr>
      <w:hyperlink w:anchor="handling-data-on-moj-it-systems">
        <w:r>
          <w:rPr>
            <w:rStyle w:val="Hyperlink"/>
          </w:rPr>
          <w:t xml:space="preserve">Handling data</w:t>
        </w:r>
      </w:hyperlink>
      <w:r>
        <w:t xml:space="preserve"> </w:t>
      </w:r>
      <w:r>
        <w:t xml:space="preserve">on MoJ IT systems.</w:t>
      </w:r>
    </w:p>
    <w:p>
      <w:pPr>
        <w:numPr>
          <w:ilvl w:val="0"/>
          <w:numId w:val="1001"/>
        </w:numPr>
        <w:pStyle w:val="Compact"/>
      </w:pPr>
      <w:hyperlink w:anchor="information-sharing">
        <w:r>
          <w:rPr>
            <w:rStyle w:val="Hyperlink"/>
          </w:rPr>
          <w:t xml:space="preserve">Information sharing</w:t>
        </w:r>
      </w:hyperlink>
      <w:r>
        <w:t xml:space="preserve">.</w:t>
      </w:r>
    </w:p>
    <w:p>
      <w:pPr>
        <w:numPr>
          <w:ilvl w:val="0"/>
          <w:numId w:val="1001"/>
        </w:numPr>
        <w:pStyle w:val="Compact"/>
      </w:pPr>
      <w:hyperlink w:anchor="reporting-data-loss">
        <w:r>
          <w:rPr>
            <w:rStyle w:val="Hyperlink"/>
          </w:rPr>
          <w:t xml:space="preserve">Reporting data loss</w:t>
        </w:r>
      </w:hyperlink>
      <w:r>
        <w:t xml:space="preserve">.</w:t>
      </w:r>
    </w:p>
    <w:p>
      <w:pPr>
        <w:pStyle w:val="FirstParagraph"/>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w:t>
      </w:r>
      <w:r>
        <w:t xml:space="preserve"> </w:t>
      </w:r>
      <w:r>
        <w:rPr>
          <w:bCs/>
          <w:b/>
        </w:rPr>
        <w:t xml:space="preserve">SHALL</w:t>
      </w:r>
      <w:r>
        <w:t xml:space="preserve"> </w:t>
      </w:r>
      <w:r>
        <w:t xml:space="preserve">be sought from the MoJ</w:t>
      </w:r>
      <w:r>
        <w:t xml:space="preserve"> </w:t>
      </w:r>
      <w:hyperlink r:id="rId22">
        <w:r>
          <w:rPr>
            <w:rStyle w:val="Hyperlink"/>
          </w:rPr>
          <w:t xml:space="preserve">Operational Security Team</w:t>
        </w:r>
      </w:hyperlink>
      <w:r>
        <w:t xml:space="preserve"> </w:t>
      </w:r>
      <w:r>
        <w:t xml:space="preserve">and the MoJ Chief Information Security Office (CISO).</w:t>
      </w:r>
    </w:p>
    <w:p>
      <w:pPr>
        <w:pStyle w:val="BodyText"/>
      </w:pPr>
      <w:r>
        <w:t xml:space="preserve">##Handling data on MoJ IT systems</w:t>
      </w:r>
    </w:p>
    <w:p>
      <w:pPr>
        <w:pStyle w:val="BodyText"/>
      </w:pPr>
      <w:r>
        <w:t xml:space="preserve">This section covers how data</w:t>
      </w:r>
      <w:r>
        <w:t xml:space="preserve"> </w:t>
      </w:r>
      <w:r>
        <w:rPr>
          <w:bCs/>
          <w:b/>
        </w:rPr>
        <w:t xml:space="preserve">SHALL</w:t>
      </w:r>
      <w:r>
        <w:t xml:space="preserve"> </w:t>
      </w:r>
      <w:r>
        <w:t xml:space="preserve">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r>
        <w:t xml:space="preserve">##Ownership of information</w:t>
      </w:r>
    </w:p>
    <w:p>
      <w:pPr>
        <w:pStyle w:val="BodyText"/>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w:t>
      </w:r>
      <w:r>
        <w:t xml:space="preserve"> </w:t>
      </w:r>
      <w:r>
        <w:rPr>
          <w:bCs/>
          <w:b/>
        </w:rPr>
        <w:t xml:space="preserve">SHALL</w:t>
      </w:r>
      <w:r>
        <w:t xml:space="preserve"> </w:t>
      </w:r>
      <w:r>
        <w:t xml:space="preserve">ensure that information for which they are responsible for is appropriately handled, and where there is a business requirement to share it with a 3rd party, that it is shared in a safe and secure manner.</w:t>
      </w:r>
    </w:p>
    <w:p>
      <w:pPr>
        <w:pStyle w:val="BodyText"/>
      </w:pPr>
      <w:r>
        <w:t xml:space="preserve">##Electronic data transfer and storage</w:t>
      </w:r>
    </w:p>
    <w:p>
      <w:pPr>
        <w:pStyle w:val="BodyText"/>
      </w:pPr>
      <w:r>
        <w:t xml:space="preserve">Data</w:t>
      </w:r>
      <w:r>
        <w:t xml:space="preserve"> </w:t>
      </w:r>
      <w:r>
        <w:rPr>
          <w:bCs/>
          <w:b/>
        </w:rPr>
        <w:t xml:space="preserve">SHALL</w:t>
      </w:r>
      <w:r>
        <w:t xml:space="preserve"> </w:t>
      </w:r>
      <w:r>
        <w:t xml:space="preserve">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r>
        <w:t xml:space="preserve">##Data in transit</w:t>
      </w:r>
    </w:p>
    <w:p>
      <w:pPr>
        <w:pStyle w:val="BodyText"/>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r>
        <w:t xml:space="preserve">##Secure network (system-to-system electronic transfer)</w:t>
      </w:r>
    </w:p>
    <w:p>
      <w:pPr>
        <w:pStyle w:val="BodyText"/>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w:t>
      </w:r>
      <w:r>
        <w:t xml:space="preserve"> </w:t>
      </w:r>
      <w:r>
        <w:rPr>
          <w:bCs/>
          <w:b/>
        </w:rPr>
        <w:t xml:space="preserve">SHALL</w:t>
      </w:r>
      <w:r>
        <w:t xml:space="preserve"> </w:t>
      </w:r>
      <w:r>
        <w:t xml:space="preserve">be captured on the DMF (see</w:t>
      </w:r>
      <w:r>
        <w:t xml:space="preserve"> </w:t>
      </w:r>
      <w:hyperlink w:anchor="data-movement-form-dmf">
        <w:r>
          <w:rPr>
            <w:rStyle w:val="Hyperlink"/>
          </w:rPr>
          <w:t xml:space="preserve">Data Movement Form</w:t>
        </w:r>
      </w:hyperlink>
      <w:r>
        <w:t xml:space="preserve">, where advice should be obtained from the MoJ Chief Information Security Office (CISO) when required.</w:t>
      </w:r>
    </w:p>
    <w:p>
      <w:pPr>
        <w:pStyle w:val="BodyText"/>
      </w:pPr>
      <w:r>
        <w:t xml:space="preserve">##USB mass storage device</w:t>
      </w:r>
    </w:p>
    <w:p>
      <w:pPr>
        <w:pStyle w:val="BodyText"/>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3">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r>
        <w:t xml:space="preserve">##Optical media</w:t>
      </w:r>
    </w:p>
    <w:p>
      <w:pPr>
        <w:pStyle w:val="BodyText"/>
      </w:pPr>
      <w:r>
        <w:t xml:space="preserve">The use of optical media (i.e. CD/DVD) is not recommended for data transfer.</w:t>
      </w:r>
    </w:p>
    <w:p>
      <w:pPr>
        <w:pStyle w:val="BodyText"/>
      </w:pPr>
      <w:r>
        <w:t xml:space="preserve">##Data at rest on MoJ-issued laptops</w:t>
      </w:r>
    </w:p>
    <w:p>
      <w:pPr>
        <w:pStyle w:val="BodyText"/>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r>
        <w:t xml:space="preserve">##Disposal and decommissioning</w:t>
      </w:r>
    </w:p>
    <w:p>
      <w:pPr>
        <w:pStyle w:val="BodyText"/>
      </w:pPr>
      <w:r>
        <w:t xml:space="preserve">Sensitive data</w:t>
      </w:r>
      <w:r>
        <w:t xml:space="preserve"> </w:t>
      </w:r>
      <w:r>
        <w:rPr>
          <w:bCs/>
          <w:b/>
        </w:rPr>
        <w:t xml:space="preserve">SHALL NOT</w:t>
      </w:r>
      <w:r>
        <w:t xml:space="preserve"> </w:t>
      </w:r>
      <w:r>
        <w:t xml:space="preserve">be kept for longer than is needed. The IAO</w:t>
      </w:r>
      <w:r>
        <w:t xml:space="preserve"> </w:t>
      </w:r>
      <w:r>
        <w:rPr>
          <w:bCs/>
          <w:b/>
        </w:rPr>
        <w:t xml:space="preserve">SHALL</w:t>
      </w:r>
      <w:r>
        <w:t xml:space="preserve"> </w:t>
      </w:r>
      <w:r>
        <w:t xml:space="preserve">check for compliance, including any mandatory retention period.</w:t>
      </w:r>
    </w:p>
    <w:p>
      <w:pPr>
        <w:pStyle w:val="BodyText"/>
      </w:pPr>
      <w:r>
        <w:t xml:space="preserve">Physical media containing sensitive data</w:t>
      </w:r>
      <w:r>
        <w:t xml:space="preserve"> </w:t>
      </w:r>
      <w:r>
        <w:rPr>
          <w:bCs/>
          <w:b/>
        </w:rPr>
        <w:t xml:space="preserve">SHALL</w:t>
      </w:r>
      <w:r>
        <w:t xml:space="preserve"> </w:t>
      </w:r>
      <w:r>
        <w:t xml:space="preserve">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24">
        <w:r>
          <w:rPr>
            <w:rStyle w:val="Hyperlink"/>
          </w:rPr>
          <w:t xml:space="preserve">Secure Disposal of IT Equipment</w:t>
        </w:r>
      </w:hyperlink>
      <w:r>
        <w:t xml:space="preserve"> </w:t>
      </w:r>
      <w:r>
        <w:t xml:space="preserve">guidance.</w:t>
      </w:r>
    </w:p>
    <w:p>
      <w:pPr>
        <w:pStyle w:val="BodyText"/>
      </w:pPr>
      <w:r>
        <w:t xml:space="preserve">##Information sharing</w:t>
      </w:r>
    </w:p>
    <w:p>
      <w:pPr>
        <w:pStyle w:val="BodyText"/>
      </w:pPr>
      <w:r>
        <w:t xml:space="preserve">##General principles</w:t>
      </w:r>
    </w:p>
    <w:p>
      <w:pPr>
        <w:pStyle w:val="BodyText"/>
      </w:pPr>
      <w:r>
        <w:t xml:space="preserve">Where there is a business need to transfer sensitive data, it</w:t>
      </w:r>
      <w:r>
        <w:t xml:space="preserve"> </w:t>
      </w:r>
      <w:r>
        <w:rPr>
          <w:bCs/>
          <w:b/>
        </w:rPr>
        <w:t xml:space="preserve">SHALL</w:t>
      </w:r>
      <w:r>
        <w:t xml:space="preserve"> </w:t>
      </w:r>
      <w:r>
        <w:t xml:space="preserve">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w:t>
      </w:r>
      <w:r>
        <w:t xml:space="preserve"> </w:t>
      </w:r>
      <w:r>
        <w:rPr>
          <w:bCs/>
          <w:b/>
        </w:rPr>
        <w:t xml:space="preserve">SHALL</w:t>
      </w:r>
      <w:r>
        <w:t xml:space="preserve"> </w:t>
      </w:r>
      <w:r>
        <w:t xml:space="preserve">ensure that any data shared can be adequately secured by the recipient. The sensitivity of data</w:t>
      </w:r>
      <w:r>
        <w:t xml:space="preserve"> </w:t>
      </w:r>
      <w:r>
        <w:rPr>
          <w:bCs/>
          <w:b/>
        </w:rPr>
        <w:t xml:space="preserve">SHALL</w:t>
      </w:r>
      <w:r>
        <w:t xml:space="preserve"> </w:t>
      </w:r>
      <w:r>
        <w:t xml:space="preserve">never be downgraded in order to send it over inadequately protected channels, or to send it to a recipient who does not have an appropriate facility to protect it after it arrives.</w:t>
      </w:r>
    </w:p>
    <w:p>
      <w:pPr>
        <w:pStyle w:val="BodyText"/>
      </w:pPr>
      <w:r>
        <w:t xml:space="preserve">##Sharing sensitive information</w:t>
      </w:r>
    </w:p>
    <w:p>
      <w:pPr>
        <w:pStyle w:val="BodyText"/>
      </w:pPr>
      <w:r>
        <w:t xml:space="preserve">MoJ staff, including contractors and agency staff,</w:t>
      </w:r>
      <w:r>
        <w:t xml:space="preserve"> </w:t>
      </w:r>
      <w:r>
        <w:rPr>
          <w:bCs/>
          <w:b/>
        </w:rPr>
        <w:t xml:space="preserve">SHALL</w:t>
      </w:r>
      <w:r>
        <w:t xml:space="preserve"> </w:t>
      </w:r>
      <w:r>
        <w:t xml:space="preserve">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w:t>
      </w:r>
      <w:r>
        <w:t xml:space="preserve"> </w:t>
      </w:r>
      <w:r>
        <w:rPr>
          <w:bCs/>
          <w:b/>
        </w:rPr>
        <w:t xml:space="preserve">SHALL</w:t>
      </w:r>
      <w:r>
        <w:t xml:space="preserve"> </w:t>
      </w:r>
      <w:r>
        <w:t xml:space="preserve">avoid exposing sensitive data to unnecessary risks, in particular by observing all aspects of MoJ</w:t>
      </w:r>
      <w:r>
        <w:t xml:space="preserve"> </w:t>
      </w:r>
      <w:hyperlink r:id="rId25">
        <w:r>
          <w:rPr>
            <w:rStyle w:val="Hyperlink"/>
          </w:rPr>
          <w:t xml:space="preserve">Acceptable Use</w:t>
        </w:r>
      </w:hyperlink>
      <w:r>
        <w:t xml:space="preserve">.</w:t>
      </w:r>
    </w:p>
    <w:p>
      <w:pPr>
        <w:pStyle w:val="BodyText"/>
      </w:pPr>
      <w:r>
        <w:t xml:space="preserve">Authorisation</w:t>
      </w:r>
      <w:r>
        <w:t xml:space="preserve"> </w:t>
      </w:r>
      <w:r>
        <w:rPr>
          <w:bCs/>
          <w:b/>
        </w:rPr>
        <w:t xml:space="preserve">SHALL</w:t>
      </w:r>
      <w:r>
        <w:t xml:space="preserve"> </w:t>
      </w:r>
      <w:r>
        <w:t xml:space="preserve">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r>
        <w:t xml:space="preserve">##Internally within the MoJ</w:t>
      </w:r>
    </w:p>
    <w:p>
      <w:pPr>
        <w:pStyle w:val="BodyText"/>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##Information sharing with another HMG department</w:t>
      </w:r>
    </w:p>
    <w:p>
      <w:pPr>
        <w:pStyle w:val="BodyText"/>
      </w:pPr>
      <w:r>
        <w:t xml:space="preserve">Information shared with another government department</w:t>
      </w:r>
      <w:r>
        <w:t xml:space="preserve"> </w:t>
      </w:r>
      <w:r>
        <w:rPr>
          <w:bCs/>
          <w:b/>
        </w:rPr>
        <w:t xml:space="preserve">SHALL</w:t>
      </w:r>
      <w:r>
        <w:t xml:space="preserve"> </w:t>
      </w:r>
      <w:r>
        <w:t xml:space="preserve">be transferred to an assured system. This means the system</w:t>
      </w:r>
      <w:r>
        <w:t xml:space="preserve"> </w:t>
      </w:r>
      <w:r>
        <w:rPr>
          <w:bCs/>
          <w:b/>
        </w:rPr>
        <w:t xml:space="preserve">SHALL</w:t>
      </w:r>
      <w:r>
        <w:t xml:space="preserve"> </w:t>
      </w:r>
      <w:r>
        <w:t xml:space="preserve">be assured to the same level as the data being transferred. The transfer</w:t>
      </w:r>
      <w:r>
        <w:t xml:space="preserve"> </w:t>
      </w:r>
      <w:r>
        <w:rPr>
          <w:bCs/>
          <w:b/>
        </w:rPr>
        <w:t xml:space="preserve">SHALL</w:t>
      </w:r>
      <w:r>
        <w:t xml:space="preserve"> </w:t>
      </w:r>
      <w:r>
        <w:t xml:space="preserve">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r>
        <w:t xml:space="preserve">##Information sharing with external 3rd parties</w:t>
      </w:r>
    </w:p>
    <w:p>
      <w:pPr>
        <w:pStyle w:val="BodyText"/>
      </w:pPr>
      <w:r>
        <w:t xml:space="preserve">Any transfer of sensitive data to a 3rd party, including sub-contractors or service providers,</w:t>
      </w:r>
      <w:r>
        <w:t xml:space="preserve"> </w:t>
      </w:r>
      <w:r>
        <w:rPr>
          <w:bCs/>
          <w:b/>
        </w:rPr>
        <w:t xml:space="preserve">SHALL</w:t>
      </w:r>
      <w:r>
        <w:t xml:space="preserve"> </w:t>
      </w:r>
      <w:r>
        <w:t xml:space="preserve">be authorised by the relevant IAO. An appropriate contract,</w:t>
      </w:r>
      <w:r>
        <w:t xml:space="preserve"> </w:t>
      </w:r>
      <w:hyperlink w:anchor="data-movement-form-dmf">
        <w:r>
          <w:rPr>
            <w:rStyle w:val="Hyperlink"/>
          </w:rPr>
          <w:t xml:space="preserve">Data Movement Form</w:t>
        </w:r>
      </w:hyperlink>
      <w:r>
        <w:t xml:space="preserve">, and Non-disclosure Agreement (NDA)</w:t>
      </w:r>
      <w:r>
        <w:t xml:space="preserve"> </w:t>
      </w:r>
      <w:r>
        <w:rPr>
          <w:bCs/>
          <w:b/>
        </w:rPr>
        <w:t xml:space="preserve">SHALL</w:t>
      </w:r>
      <w:r>
        <w:t xml:space="preserve"> </w:t>
      </w:r>
      <w:r>
        <w:t xml:space="preserve">be in place prior to the transfer.</w:t>
      </w:r>
    </w:p>
    <w:p>
      <w:pPr>
        <w:pStyle w:val="BodyText"/>
      </w:pPr>
      <w:r>
        <w:t xml:space="preserve">Where the information is</w:t>
      </w:r>
      <w:r>
        <w:t xml:space="preserve"> </w:t>
      </w:r>
      <w:r>
        <w:rPr>
          <w:rStyle w:val="VerbatimChar"/>
        </w:rPr>
        <w:t xml:space="preserve">OFFICIAL-SENSITIVE</w:t>
      </w:r>
      <w:r>
        <w:t xml:space="preserve">, it</w:t>
      </w:r>
      <w:r>
        <w:t xml:space="preserve"> </w:t>
      </w:r>
      <w:r>
        <w:rPr>
          <w:bCs/>
          <w:b/>
        </w:rPr>
        <w:t xml:space="preserve">SHALL</w:t>
      </w:r>
      <w:r>
        <w:t xml:space="preserve"> </w:t>
      </w:r>
      <w:r>
        <w:t xml:space="preserve">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w:t>
      </w:r>
      <w:r>
        <w:t xml:space="preserve"> </w:t>
      </w:r>
      <w:r>
        <w:rPr>
          <w:bCs/>
          <w:b/>
        </w:rPr>
        <w:t xml:space="preserve">SHALL</w:t>
      </w:r>
      <w:r>
        <w:t xml:space="preserve"> </w:t>
      </w:r>
      <w:r>
        <w:t xml:space="preserve">be undertaken with appropriate security controls in place, using the guidance from this document, and seeking advice from Information Assurance and the MoJ CISO as required.</w:t>
      </w:r>
    </w:p>
    <w:p>
      <w:pPr>
        <w:pStyle w:val="BodyText"/>
      </w:pPr>
      <w:r>
        <w:t xml:space="preserve">##Sharing across an unsecured network</w:t>
      </w:r>
    </w:p>
    <w:p>
      <w:pPr>
        <w:pStyle w:val="BodyText"/>
      </w:pPr>
      <w:r>
        <w:t xml:space="preserve">Sensitive data</w:t>
      </w:r>
      <w:r>
        <w:t xml:space="preserve"> </w:t>
      </w:r>
      <w:r>
        <w:rPr>
          <w:bCs/>
          <w:b/>
        </w:rPr>
        <w:t xml:space="preserve">SHALL</w:t>
      </w:r>
      <w:r>
        <w:t xml:space="preserve"> </w:t>
      </w:r>
      <w:r>
        <w:t xml:space="preserve">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r>
        <w:t xml:space="preserve">##Using commercial encryption products for low sensitivity information</w:t>
      </w:r>
    </w:p>
    <w:p>
      <w:pPr>
        <w:pStyle w:val="BodyText"/>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r>
        <w:t xml:space="preserve">##Sharing information above</w:t>
      </w:r>
      <w:r>
        <w:t xml:space="preserve"> </w:t>
      </w:r>
      <w:r>
        <w:rPr>
          <w:rStyle w:val="VerbatimChar"/>
        </w:rPr>
        <w:t xml:space="preserve">OFFICIAL</w:t>
      </w:r>
    </w:p>
    <w:p>
      <w:pPr>
        <w:pStyle w:val="BodyText"/>
      </w:pPr>
      <w:r>
        <w:t xml:space="preserve">Where there is a business requirement to share information classified higher than</w:t>
      </w:r>
      <w:r>
        <w:t xml:space="preserve"> </w:t>
      </w:r>
      <w:r>
        <w:rPr>
          <w:rStyle w:val="VerbatimChar"/>
        </w:rPr>
        <w:t xml:space="preserve">OFFICIAL</w:t>
      </w:r>
      <w:r>
        <w:t xml:space="preserve">, advice</w:t>
      </w:r>
      <w:r>
        <w:t xml:space="preserve"> </w:t>
      </w:r>
      <w:r>
        <w:rPr>
          <w:bCs/>
          <w:b/>
        </w:rPr>
        <w:t xml:space="preserve">SHALL</w:t>
      </w:r>
      <w:r>
        <w:t xml:space="preserve"> </w:t>
      </w:r>
      <w:r>
        <w:t xml:space="preserve">be sought from the Operational Security Team:</w:t>
      </w:r>
      <w:r>
        <w:t xml:space="preserve"> </w:t>
      </w:r>
      <w:hyperlink r:id="rId22">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r>
        <w:t xml:space="preserve">##Data Movement Form (DMF)</w:t>
      </w:r>
    </w:p>
    <w:p>
      <w:pPr>
        <w:pStyle w:val="BodyText"/>
      </w:pPr>
      <w:r>
        <w:t xml:space="preserve">The Data Movement Form (DMF) is available on the</w:t>
      </w:r>
      <w:r>
        <w:t xml:space="preserve"> </w:t>
      </w:r>
      <w:hyperlink r:id="rId26">
        <w:r>
          <w:rPr>
            <w:rStyle w:val="Hyperlink"/>
          </w:rPr>
          <w:t xml:space="preserve">MoJ Intranet</w:t>
        </w:r>
      </w:hyperlink>
      <w:r>
        <w:t xml:space="preserve">.</w:t>
      </w:r>
    </w:p>
    <w:p>
      <w:pPr>
        <w:pStyle w:val="BodyText"/>
      </w:pPr>
      <w:r>
        <w:t xml:space="preserve">The purpose of the DMF is to ensure that the movement of information assets is secure, and in compliance with the</w:t>
      </w:r>
      <w:r>
        <w:t xml:space="preserve"> </w:t>
      </w:r>
      <w:hyperlink r:id="rId20">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the Senior Information Risk Owner (SIRO).</w:t>
      </w:r>
    </w:p>
    <w:p>
      <w:pPr>
        <w:pStyle w:val="BodyText"/>
      </w:pPr>
      <w:r>
        <w:t xml:space="preserve">A DMF</w:t>
      </w:r>
      <w:r>
        <w:t xml:space="preserve"> </w:t>
      </w:r>
      <w:r>
        <w:rPr>
          <w:bCs/>
          <w:b/>
        </w:rPr>
        <w:t xml:space="preserve">SHALL</w:t>
      </w:r>
      <w:r>
        <w:t xml:space="preserve"> </w:t>
      </w:r>
      <w:r>
        <w:t xml:space="preserve">be completed, and approval received from the</w:t>
      </w:r>
      <w:r>
        <w:t xml:space="preserve"> </w:t>
      </w:r>
      <w:hyperlink r:id="rId22">
        <w:r>
          <w:rPr>
            <w:rStyle w:val="Hyperlink"/>
          </w:rPr>
          <w:t xml:space="preserve">Operational Security Team</w:t>
        </w:r>
      </w:hyperlink>
      <w:r>
        <w:t xml:space="preserve">, for the following scenarios:</w:t>
      </w:r>
    </w:p>
    <w:p>
      <w:pPr>
        <w:numPr>
          <w:ilvl w:val="0"/>
          <w:numId w:val="1008"/>
        </w:numPr>
        <w:pStyle w:val="Compact"/>
      </w:pPr>
      <w:r>
        <w:t xml:space="preserve">Data is being moved or shared by using a physical storage device to transfer the information. An example is where you use a</w:t>
      </w:r>
      <w:r>
        <w:t xml:space="preserve"> </w:t>
      </w:r>
      <w:r>
        <w:t xml:space="preserve">“</w:t>
      </w:r>
      <w:r>
        <w:t xml:space="preserve">memory stick</w:t>
      </w:r>
      <w:r>
        <w:t xml:space="preserve">”</w:t>
      </w:r>
      <w:r>
        <w:t xml:space="preserve">, a USB drive, a storage array, or some other removable media. The DMF in this scenario focuses on the data being moved or shared.</w:t>
      </w:r>
    </w:p>
    <w:p>
      <w:pPr>
        <w:numPr>
          <w:ilvl w:val="0"/>
          <w:numId w:val="1008"/>
        </w:numPr>
        <w:pStyle w:val="Compact"/>
      </w:pPr>
      <w:r>
        <w:t xml:space="preserve">Data is being moved or shared by electronic (network) communication, where the movement is from an MoJ IT system to an external party. An example is using secure file transfer or approved email to transfer the information. The DMF in this scenario focuses on the data being moved or shared.</w:t>
      </w:r>
    </w:p>
    <w:p>
      <w:pPr>
        <w:numPr>
          <w:ilvl w:val="0"/>
          <w:numId w:val="1008"/>
        </w:numPr>
        <w:pStyle w:val="Compact"/>
      </w:pPr>
      <w:r>
        <w:t xml:space="preserve">An asset (a</w:t>
      </w:r>
      <w:r>
        <w:t xml:space="preserve"> </w:t>
      </w:r>
      <w:r>
        <w:t xml:space="preserve">“</w:t>
      </w:r>
      <w:r>
        <w:t xml:space="preserve">data bearing asset</w:t>
      </w:r>
      <w:r>
        <w:t xml:space="preserve">”</w:t>
      </w:r>
      <w:r>
        <w:t xml:space="preserve">) is being moved to, or transported by, an external party. This might be as a result of an office move, or because the asset is being decommissioned. The asset might contain or process MoJ information. Examples of data bearing assets include laptops, servers, multi-functional devices, and any other data bearing peripherals. The DMF in this scenario focuses on the asset being moved or transported, rather than the MoJ information that the asset might contain or process.</w:t>
      </w:r>
    </w:p>
    <w:p>
      <w:pPr>
        <w:pStyle w:val="FirstParagraph"/>
      </w:pPr>
      <w:r>
        <w:t xml:space="preserve">A DMF</w:t>
      </w:r>
      <w:r>
        <w:t xml:space="preserve"> </w:t>
      </w:r>
      <w:r>
        <w:rPr>
          <w:bCs/>
          <w:b/>
        </w:rPr>
        <w:t xml:space="preserve">SHALL</w:t>
      </w:r>
      <w:r>
        <w:t xml:space="preserve"> </w:t>
      </w:r>
      <w:r>
        <w:t xml:space="preserve">be submitted to the</w:t>
      </w:r>
      <w:r>
        <w:t xml:space="preserve"> </w:t>
      </w:r>
      <w:hyperlink r:id="rId22">
        <w:r>
          <w:rPr>
            <w:rStyle w:val="Hyperlink"/>
          </w:rPr>
          <w:t xml:space="preserve">Operational Security Team</w:t>
        </w:r>
      </w:hyperlink>
      <w:r>
        <w:t xml:space="preserve"> </w:t>
      </w:r>
      <w:r>
        <w:t xml:space="preserve">for information purposes, in the following scenarios:</w:t>
      </w:r>
    </w:p>
    <w:p>
      <w:pPr>
        <w:numPr>
          <w:ilvl w:val="0"/>
          <w:numId w:val="1009"/>
        </w:numPr>
        <w:pStyle w:val="Compact"/>
      </w:pPr>
      <w:r>
        <w:t xml:space="preserve">Data is being moved or shared by electronic (network) communication, where the movement is entirely within or between MoJ IT systems.</w:t>
      </w:r>
    </w:p>
    <w:p>
      <w:pPr>
        <w:numPr>
          <w:ilvl w:val="0"/>
          <w:numId w:val="1009"/>
        </w:numPr>
        <w:pStyle w:val="Compact"/>
      </w:pPr>
      <w:r>
        <w:t xml:space="preserve">Data is being moved in full compliance with the already-approved service design and operation specification and procedures.</w:t>
      </w:r>
    </w:p>
    <w:p>
      <w:pPr>
        <w:numPr>
          <w:ilvl w:val="0"/>
          <w:numId w:val="1009"/>
        </w:numPr>
        <w:pStyle w:val="Compact"/>
      </w:pPr>
      <w:r>
        <w:t xml:space="preserve">An asset (a</w:t>
      </w:r>
      <w:r>
        <w:t xml:space="preserve"> </w:t>
      </w:r>
      <w:r>
        <w:t xml:space="preserve">“</w:t>
      </w:r>
      <w:r>
        <w:t xml:space="preserve">data bearing asset</w:t>
      </w:r>
      <w:r>
        <w:t xml:space="preserve">”</w:t>
      </w:r>
      <w:r>
        <w:t xml:space="preserve">) is being moved but remains within the MoJ or its supplier-provided and MoJ-approved facilities at all times.</w:t>
      </w:r>
    </w:p>
    <w:p>
      <w:pPr>
        <w:pStyle w:val="FirstParagraph"/>
      </w:pPr>
      <w:r>
        <w:rPr>
          <w:bCs/>
          <w:b/>
        </w:rPr>
        <w:t xml:space="preserve">Note:</w:t>
      </w:r>
      <w:r>
        <w:t xml:space="preserve"> </w:t>
      </w:r>
      <w:r>
        <w:t xml:space="preserve">In the informational scenarios, a DMF is only expected the first time a data movement or sharing takes place. Subsequent, repeat instances of the movement or sharing, do not require a re-submission of the DMF. For example, when setting up a backup process as part of an approved service design, a DMF is created and submitted to the</w:t>
      </w:r>
      <w:r>
        <w:t xml:space="preserve"> </w:t>
      </w:r>
      <w:hyperlink r:id="rId22">
        <w:r>
          <w:rPr>
            <w:rStyle w:val="Hyperlink"/>
          </w:rPr>
          <w:t xml:space="preserve">Operational Security Team</w:t>
        </w:r>
      </w:hyperlink>
      <w:r>
        <w:t xml:space="preserve"> </w:t>
      </w:r>
      <w:r>
        <w:t xml:space="preserve">for information purposes, but does not need to be re-created or re-submitted for each backup occurrence. If the implementation or process for the data movement or sharing changes, for example a new new backup technology or process is deployed, then a fresh informational DMF is required.</w:t>
      </w:r>
    </w:p>
    <w:p>
      <w:pPr>
        <w:pStyle w:val="BodyText"/>
      </w:pPr>
      <w:r>
        <w:t xml:space="preserve">In any case of doubt, it is always advisable to complete a DMF and await approval or other feedback from the</w:t>
      </w:r>
      <w:r>
        <w:t xml:space="preserve"> </w:t>
      </w:r>
      <w:hyperlink r:id="rId22">
        <w:r>
          <w:rPr>
            <w:rStyle w:val="Hyperlink"/>
          </w:rPr>
          <w:t xml:space="preserve">Operational Security Team</w:t>
        </w:r>
      </w:hyperlink>
      <w:r>
        <w:t xml:space="preserve">.</w:t>
      </w:r>
    </w:p>
    <w:p>
      <w:pPr>
        <w:pStyle w:val="BodyText"/>
      </w:pPr>
      <w:r>
        <w:t xml:space="preserve">##Using SecureZIP</w:t>
      </w:r>
    </w:p>
    <w:p>
      <w:pPr>
        <w:pStyle w:val="BodyText"/>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10"/>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10"/>
        </w:numPr>
        <w:pStyle w:val="Compact"/>
      </w:pPr>
      <w:r>
        <w:t xml:space="preserve">Transfer the encrypted data file first. Only send the password or key after the recipient has confirmed receipt of the file.</w:t>
      </w:r>
    </w:p>
    <w:p>
      <w:pPr>
        <w:numPr>
          <w:ilvl w:val="0"/>
          <w:numId w:val="1010"/>
        </w:numPr>
        <w:pStyle w:val="Compact"/>
      </w:pPr>
      <w:r>
        <w:t xml:space="preserve">Avoid detailing the purpose of a password when it is sent.</w:t>
      </w:r>
    </w:p>
    <w:p>
      <w:pPr>
        <w:numPr>
          <w:ilvl w:val="0"/>
          <w:numId w:val="1010"/>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27">
        <w:r>
          <w:rPr>
            <w:rStyle w:val="Hyperlink"/>
          </w:rPr>
          <w:t xml:space="preserve">available</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11"/>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2"/>
        </w:numPr>
        <w:pStyle w:val="Compact"/>
      </w:pPr>
      <w:r>
        <w:t xml:space="preserve">Email:</w:t>
      </w:r>
      <w:r>
        <w:t xml:space="preserve"> </w:t>
      </w:r>
      <w:hyperlink r:id="rId28">
        <w:r>
          <w:rPr>
            <w:rStyle w:val="Hyperlink"/>
          </w:rPr>
          <w:t xml:space="preserve">servicedesk@digital.justice.gov.uk</w:t>
        </w:r>
      </w:hyperlink>
    </w:p>
    <w:p>
      <w:pPr>
        <w:numPr>
          <w:ilvl w:val="0"/>
          <w:numId w:val="1012"/>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3"/>
        </w:numPr>
        <w:pStyle w:val="Compact"/>
      </w:pPr>
      <w:r>
        <w:t xml:space="preserve">Email:</w:t>
      </w:r>
      <w:r>
        <w:t xml:space="preserve"> </w:t>
      </w:r>
      <w:hyperlink r:id="rId29">
        <w:r>
          <w:rPr>
            <w:rStyle w:val="Hyperlink"/>
          </w:rPr>
          <w:t xml:space="preserve">informationmgmtsecurity@justice.gov.uk</w:t>
        </w:r>
      </w:hyperlink>
    </w:p>
    <w:p>
      <w:pPr>
        <w:numPr>
          <w:ilvl w:val="0"/>
          <w:numId w:val="1013"/>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26" Target="./gs/data-movement-form.docx" TargetMode="External" /><Relationship Type="http://schemas.openxmlformats.org/officeDocument/2006/relationships/hyperlink" Id="rId25" Target="acceptable-use.md" TargetMode="External" /><Relationship Type="http://schemas.openxmlformats.org/officeDocument/2006/relationships/hyperlink" Id="rId20" Target="https://www.gov.uk/government/publications/government-functional-standard-govs-007-security" TargetMode="External" /><Relationship Type="http://schemas.openxmlformats.org/officeDocument/2006/relationships/hyperlink" Id="rId21" Target="mailto:CyberConsultancy@digital.justice.gov.uk" TargetMode="External" /><Relationship Type="http://schemas.openxmlformats.org/officeDocument/2006/relationships/hyperlink" Id="rId22" Target="mailto:OperationalSecurityTeam@justice.gov.uk" TargetMode="External" /><Relationship Type="http://schemas.openxmlformats.org/officeDocument/2006/relationships/hyperlink" Id="rId29"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rvicedesk@digital.justice.gov.uk" TargetMode="External" /><Relationship Type="http://schemas.openxmlformats.org/officeDocument/2006/relationships/hyperlink" Id="rId27" Target="passwords.md" TargetMode="External" /><Relationship Type="http://schemas.openxmlformats.org/officeDocument/2006/relationships/hyperlink" Id="rId23" Target="removable-media.md" TargetMode="External" /><Relationship Type="http://schemas.openxmlformats.org/officeDocument/2006/relationships/hyperlink" Id="rId2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2021-07-05T08:35:26Z</dcterms:created>
  <dcterms:modified xsi:type="dcterms:W3CDTF">2021-07-05T08:35:26Z</dcterms:modified>
</cp:coreProperties>
</file>

<file path=docProps/custom.xml><?xml version="1.0" encoding="utf-8"?>
<Properties xmlns="http://schemas.openxmlformats.org/officeDocument/2006/custom-properties" xmlns:vt="http://schemas.openxmlformats.org/officeDocument/2006/docPropsVTypes"/>
</file>