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equipment-reassignment-guide"/>
    <w:p>
      <w:pPr>
        <w:pStyle w:val="Heading1"/>
      </w:pPr>
      <w:r>
        <w:t xml:space="preserve">Equipment Reassignment Guide</w:t>
      </w:r>
    </w:p>
    <w:bookmarkStart w:id="20" w:name="introduction"/>
    <w:p>
      <w:pPr>
        <w:pStyle w:val="Heading2"/>
      </w:pPr>
      <w:r>
        <w:t xml:space="preserve">Introduction</w:t>
      </w:r>
    </w:p>
    <w:p>
      <w:pPr>
        <w:pStyle w:val="FirstParagraph"/>
      </w:pPr>
      <w:r>
        <w:t xml:space="preserve">This guide describes how to reassign equipment. It applies to laptops, mobile phones or other Ministry of Justice (MoJ) issued equipment. Reassignment is from one user to another.</w:t>
      </w:r>
    </w:p>
    <w:bookmarkEnd w:id="20"/>
    <w:bookmarkStart w:id="21" w:name="who-is-this-for"/>
    <w:p>
      <w:pPr>
        <w:pStyle w:val="Heading2"/>
      </w:pPr>
      <w:r>
        <w:t xml:space="preserve">Who is this for?</w:t>
      </w:r>
    </w:p>
    <w:p>
      <w:pPr>
        <w:pStyle w:val="FirstParagraph"/>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bookmarkEnd w:id="21"/>
    <w:bookmarkStart w:id="22" w:name="returning-equipment"/>
    <w:p>
      <w:pPr>
        <w:pStyle w:val="Heading2"/>
      </w:pPr>
      <w:r>
        <w:t xml:space="preserve">Returning Equipment</w:t>
      </w:r>
    </w:p>
    <w:p>
      <w:pPr>
        <w:pStyle w:val="FirstParagraph"/>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bookmarkEnd w:id="22"/>
    <w:bookmarkStart w:id="23" w:name="equipment-reassignment"/>
    <w:p>
      <w:pPr>
        <w:pStyle w:val="Heading2"/>
      </w:pPr>
      <w:r>
        <w:t xml:space="preserve">Equipment Reassignment</w:t>
      </w:r>
    </w:p>
    <w:p>
      <w:pPr>
        <w:pStyle w:val="FirstParagraph"/>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bookmarkEnd w:id="23"/>
    <w:bookmarkStart w:id="25" w:name="equipment-that-cannot-be-reused"/>
    <w:p>
      <w:pPr>
        <w:pStyle w:val="Heading2"/>
      </w:pPr>
      <w:r>
        <w:t xml:space="preserve">Equipment that cannot be reused</w:t>
      </w:r>
    </w:p>
    <w:p>
      <w:pPr>
        <w:pStyle w:val="FirstParagraph"/>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4">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bookmarkEnd w:id="25"/>
    <w:bookmarkStart w:id="26" w:name="leased-equipment"/>
    <w:p>
      <w:pPr>
        <w:pStyle w:val="Heading2"/>
      </w:pPr>
      <w:r>
        <w:t xml:space="preserve">Leased equipment</w:t>
      </w:r>
    </w:p>
    <w:p>
      <w:pPr>
        <w:pStyle w:val="FirstParagraph"/>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uidance/security/it-computer-security/secure-disposal-of-it-equipment/"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guidance/security/it-computer-security/secure-disposal-of-it-equipment/"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2021-06-22T11:47:16Z</dcterms:created>
  <dcterms:modified xsi:type="dcterms:W3CDTF">2021-06-22T11:47:16Z</dcterms:modified>
</cp:coreProperties>
</file>

<file path=docProps/custom.xml><?xml version="1.0" encoding="utf-8"?>
<Properties xmlns="http://schemas.openxmlformats.org/officeDocument/2006/custom-properties" xmlns:vt="http://schemas.openxmlformats.org/officeDocument/2006/docPropsVTypes"/>
</file>