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#Line Manager approval</w:t>
      </w:r>
    </w:p>
    <w:p>
      <w:pPr>
        <w:pStyle w:val="BodyText"/>
      </w:pPr>
      <w:r>
        <w:t xml:space="preserve">This guidance applies to all staff and contractors who work for the Ministry of Justice (MoJ).</w:t>
      </w:r>
    </w:p>
    <w:p>
      <w:pPr>
        <w:pStyle w:val="BodyText"/>
      </w:pPr>
      <w:r>
        <w:t xml:space="preserve">Some MoJ IT Policy documents need you to get a review or approval from a Line Manager or other senior person. 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Taking equipment overseas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p>
      <w:pPr>
        <w:pStyle w:val="BodyText"/>
      </w:pPr>
      <w:r>
        <w:t xml:space="preserve">##Steps to follow (Line Managers)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 The request should identify which MoJ 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 If not, deny the request (</w:t>
      </w:r>
      <w:hyperlink w:anchor="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 MoJ 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 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 MoJ IT Policies, send a formal approval to the DR. An email is enough for this.</w:t>
      </w:r>
    </w:p>
    <w:p>
      <w:pPr>
        <w:numPr>
          <w:ilvl w:val="0"/>
          <w:numId w:val="1002"/>
        </w:numPr>
        <w:pStyle w:val="Compact"/>
      </w:pPr>
      <w:r>
        <w:t xml:space="preserve">If you don’t think they can follow the Policies, or there’s a weak business case for the request, refuse it.</w:t>
      </w:r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 MoJ IT Policies need a copy of formal approval for other parties. For example, before your DR travels to some countries on MoJ business, send a copy of your approval to Operational Security:</w:t>
      </w:r>
      <w:r>
        <w:t xml:space="preserve"> </w:t>
      </w:r>
      <w:hyperlink r:id="rId23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pStyle w:val="FirstParagraph"/>
      </w:pPr>
      <w:r>
        <w:t xml:space="preserve">##Steps to follow (Direct Reports)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 MoJ IT Policies apply to your request. Include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 MoJ 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 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 MoJ 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 MoJ 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 Use this understanding to tackle your business task again, if appropriate.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4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5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5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2021-07-01T13:55:51Z</dcterms:created>
  <dcterms:modified xsi:type="dcterms:W3CDTF">2021-07-01T13:55:51Z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