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#Line Manager approval</w:t>
      </w:r>
    </w:p>
    <w:p>
      <w:pPr>
        <w:pStyle w:val="BodyText"/>
      </w:pPr>
      <w:r>
        <w:t xml:space="preserve">This guidance applies to all staff and contractors who work for the Ministry of Justice (MoJ).</w:t>
      </w:r>
    </w:p>
    <w:p>
      <w:pPr>
        <w:pStyle w:val="BodyText"/>
      </w:pPr>
      <w:r>
        <w:t xml:space="preserve">Some MoJ IT Policy documents need you to get a review or approval from a Line Manager or other senior person. Do this before taking an action or working in a particular way.</w:t>
      </w:r>
    </w:p>
    <w:p>
      <w:pPr>
        <w:pStyle w:val="BodyText"/>
      </w:pPr>
      <w:r>
        <w:t xml:space="preserve">Examples include: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Taking equipment overseas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.</w:t>
      </w:r>
    </w:p>
    <w:p>
      <w:pPr>
        <w:pStyle w:val="FirstParagraph"/>
      </w:pPr>
      <w:r>
        <w:t xml:space="preserve">This guidance describes what you should do. The guidance contains steps to follow for</w:t>
      </w:r>
      <w:r>
        <w:t xml:space="preserve"> </w:t>
      </w:r>
      <w:hyperlink w:anchor="steps-to-follow-line-managers">
        <w:r>
          <w:rPr>
            <w:rStyle w:val="Hyperlink"/>
          </w:rPr>
          <w:t xml:space="preserve">Line Managers</w:t>
        </w:r>
      </w:hyperlink>
      <w:r>
        <w:t xml:space="preserve">, and their</w:t>
      </w:r>
      <w:r>
        <w:t xml:space="preserve"> </w:t>
      </w:r>
      <w:hyperlink w:anchor="steps-to-follow-direct-reports">
        <w:r>
          <w:rPr>
            <w:rStyle w:val="Hyperlink"/>
          </w:rPr>
          <w:t xml:space="preserve">Direct Reports</w:t>
        </w:r>
      </w:hyperlink>
      <w:r>
        <w:t xml:space="preserve">.</w:t>
      </w:r>
    </w:p>
    <w:p>
      <w:pPr>
        <w:pStyle w:val="BodyText"/>
      </w:pPr>
      <w:r>
        <w:t xml:space="preserve">##Steps to follow (Line Managers)</w:t>
      </w:r>
    </w:p>
    <w:p>
      <w:pPr>
        <w:pStyle w:val="BodyText"/>
      </w:pPr>
      <w:r>
        <w:rPr>
          <w:bCs/>
          <w:b/>
        </w:rPr>
        <w:t xml:space="preserve">Note:</w:t>
      </w:r>
      <w:r>
        <w:t xml:space="preserve"> </w:t>
      </w:r>
      <w:r>
        <w:t xml:space="preserve">If at any time you need help about this process, or the applicable MoJ IT Policies, just ask: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Check that your direct report (DR) has said what they want in their request. The request should identify which MoJ IT Policies apply.</w:t>
      </w:r>
    </w:p>
    <w:p>
      <w:pPr>
        <w:numPr>
          <w:ilvl w:val="0"/>
          <w:numId w:val="1002"/>
        </w:numPr>
        <w:pStyle w:val="Compact"/>
      </w:pPr>
      <w:r>
        <w:t xml:space="preserve">Check that the request is valid from a business perspective. If not, deny the request (</w:t>
      </w:r>
      <w:hyperlink w:anchor="step7">
        <w:r>
          <w:rPr>
            <w:rStyle w:val="Hyperlink"/>
          </w:rPr>
          <w:t xml:space="preserve">step 7</w:t>
        </w:r>
      </w:hyperlink>
      <w:r>
        <w:t xml:space="preserve"> 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Check that</w:t>
      </w:r>
      <w:r>
        <w:t xml:space="preserve"> </w:t>
      </w:r>
      <w:hyperlink r:id="rId22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is in the list of applicable policies.</w:t>
      </w:r>
    </w:p>
    <w:p>
      <w:pPr>
        <w:numPr>
          <w:ilvl w:val="0"/>
          <w:numId w:val="1002"/>
        </w:numPr>
        <w:pStyle w:val="Compact"/>
      </w:pPr>
      <w:r>
        <w:t xml:space="preserve">Review the requirements or obligations within the MoJ IT Policies that apply to the request.</w:t>
      </w:r>
    </w:p>
    <w:p>
      <w:pPr>
        <w:numPr>
          <w:ilvl w:val="0"/>
          <w:numId w:val="1002"/>
        </w:numPr>
        <w:pStyle w:val="Compact"/>
      </w:pPr>
      <w:r>
        <w:t xml:space="preserve">Check that the DR understands and will follow the requirements or obligations. For example, have a discussion with them, or ask them for more information or evidence.</w:t>
      </w:r>
    </w:p>
    <w:p>
      <w:pPr>
        <w:numPr>
          <w:ilvl w:val="0"/>
          <w:numId w:val="1002"/>
        </w:numPr>
        <w:pStyle w:val="Compact"/>
      </w:pPr>
      <w:r>
        <w:t xml:space="preserve">If they are able to follow the applicable MoJ IT Policies, send a formal approval to the DR. An email is enough for this.</w:t>
      </w:r>
    </w:p>
    <w:p>
      <w:pPr>
        <w:numPr>
          <w:ilvl w:val="0"/>
          <w:numId w:val="1002"/>
        </w:numPr>
        <w:pStyle w:val="Compact"/>
      </w:pPr>
      <w:r>
        <w:t xml:space="preserve">If you don’t think they can follow the Policies, or there’s a weak business case for the request, refuse it.</w:t>
      </w:r>
    </w:p>
    <w:p>
      <w:pPr>
        <w:numPr>
          <w:ilvl w:val="0"/>
          <w:numId w:val="1002"/>
        </w:numPr>
        <w:pStyle w:val="Compact"/>
      </w:pPr>
      <w:r>
        <w:t xml:space="preserve">Keep a copy of your formal reply, in accord with Data Retention requirements.</w:t>
      </w:r>
    </w:p>
    <w:p>
      <w:pPr>
        <w:numPr>
          <w:ilvl w:val="0"/>
          <w:numId w:val="1002"/>
        </w:numPr>
        <w:pStyle w:val="Compact"/>
      </w:pPr>
      <w:r>
        <w:t xml:space="preserve">Some MoJ IT Policies need a copy of formal approval for other parties. For example, before your DR travels to some countries on MoJ business, send a copy of your approval to Operational Security:</w:t>
      </w:r>
      <w:r>
        <w:t xml:space="preserve"> </w:t>
      </w:r>
      <w:hyperlink r:id="rId23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p>
      <w:pPr>
        <w:pStyle w:val="FirstParagraph"/>
      </w:pPr>
      <w:r>
        <w:t xml:space="preserve">##Steps to follow (Direct Reports)</w:t>
      </w:r>
    </w:p>
    <w:p>
      <w:pPr>
        <w:pStyle w:val="BodyText"/>
      </w:pPr>
      <w:r>
        <w:rPr>
          <w:bCs/>
          <w:b/>
        </w:rPr>
        <w:t xml:space="preserve">Note:</w:t>
      </w:r>
      <w:r>
        <w:t xml:space="preserve"> </w:t>
      </w:r>
      <w:r>
        <w:t xml:space="preserve">If at any time you need help about this process, or the applicable MoJ IT Policies, just ask: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Check that your business need is valid.</w:t>
      </w:r>
    </w:p>
    <w:p>
      <w:pPr>
        <w:numPr>
          <w:ilvl w:val="0"/>
          <w:numId w:val="1003"/>
        </w:numPr>
        <w:pStyle w:val="Compact"/>
      </w:pPr>
      <w:r>
        <w:t xml:space="preserve">Check which MoJ IT Policies apply to your request. Include</w:t>
      </w:r>
      <w:r>
        <w:t xml:space="preserve"> </w:t>
      </w:r>
      <w:hyperlink r:id="rId22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in the list of applicable policies.</w:t>
      </w:r>
    </w:p>
    <w:p>
      <w:pPr>
        <w:numPr>
          <w:ilvl w:val="0"/>
          <w:numId w:val="1003"/>
        </w:numPr>
        <w:pStyle w:val="Compact"/>
      </w:pPr>
      <w:r>
        <w:t xml:space="preserve">Check that you understand the requirements or obligations within those MoJ IT Policies.</w:t>
      </w:r>
    </w:p>
    <w:p>
      <w:pPr>
        <w:numPr>
          <w:ilvl w:val="0"/>
          <w:numId w:val="1003"/>
        </w:numPr>
        <w:pStyle w:val="Compact"/>
      </w:pPr>
      <w:r>
        <w:t xml:space="preserve">Prepare evidence to show that you will follow all the requirements or obligations. Check that you have all the required information.</w:t>
      </w:r>
    </w:p>
    <w:p>
      <w:pPr>
        <w:numPr>
          <w:ilvl w:val="0"/>
          <w:numId w:val="1003"/>
        </w:numPr>
        <w:pStyle w:val="Compact"/>
      </w:pPr>
      <w:r>
        <w:t xml:space="preserve">Send a formal approval request to the authorities required by the MoJ IT Policies. Ensure that you include:</w:t>
      </w:r>
    </w:p>
    <w:p>
      <w:pPr>
        <w:numPr>
          <w:ilvl w:val="1"/>
          <w:numId w:val="1004"/>
        </w:numPr>
        <w:pStyle w:val="Compact"/>
      </w:pPr>
      <w:r>
        <w:t xml:space="preserve">Your request.</w:t>
      </w:r>
    </w:p>
    <w:p>
      <w:pPr>
        <w:numPr>
          <w:ilvl w:val="1"/>
          <w:numId w:val="1004"/>
        </w:numPr>
        <w:pStyle w:val="Compact"/>
      </w:pPr>
      <w:r>
        <w:t xml:space="preserve">The business case.</w:t>
      </w:r>
    </w:p>
    <w:p>
      <w:pPr>
        <w:numPr>
          <w:ilvl w:val="1"/>
          <w:numId w:val="1004"/>
        </w:numPr>
        <w:pStyle w:val="Compact"/>
      </w:pPr>
      <w:r>
        <w:t xml:space="preserve">The list of applicable MoJ IT Policies.</w:t>
      </w:r>
    </w:p>
    <w:p>
      <w:pPr>
        <w:numPr>
          <w:ilvl w:val="1"/>
          <w:numId w:val="1004"/>
        </w:numPr>
        <w:pStyle w:val="Compact"/>
      </w:pPr>
      <w:r>
        <w:t xml:space="preserve">Evidence that you understand and can follow the requirements or obligations.</w:t>
      </w:r>
    </w:p>
    <w:p>
      <w:pPr>
        <w:numPr>
          <w:ilvl w:val="0"/>
          <w:numId w:val="1003"/>
        </w:numPr>
        <w:pStyle w:val="Compact"/>
      </w:pPr>
      <w:r>
        <w:t xml:space="preserve">Be ready to have a more detailed discussion about your request, or to supply more information.</w:t>
      </w:r>
    </w:p>
    <w:p>
      <w:pPr>
        <w:numPr>
          <w:ilvl w:val="0"/>
          <w:numId w:val="1003"/>
        </w:numPr>
        <w:pStyle w:val="Compact"/>
      </w:pPr>
      <w:r>
        <w:t xml:space="preserve">If you get formal approval, keep a copy, in accord with Data Retention requirements.</w:t>
      </w:r>
    </w:p>
    <w:p>
      <w:pPr>
        <w:numPr>
          <w:ilvl w:val="0"/>
          <w:numId w:val="1003"/>
        </w:numPr>
        <w:pStyle w:val="Compact"/>
      </w:pPr>
      <w:r>
        <w:t xml:space="preserve">If your request is denied, check that you understand the reasons. Use this understanding to tackle your business task again, if appropriate.</w:t>
      </w:r>
    </w:p>
    <w:p>
      <w:pPr>
        <w:pStyle w:val="FirstParagraph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4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5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/guidance/security/it-computer-security/acceptable-use/" TargetMode="External" /><Relationship Type="http://schemas.openxmlformats.org/officeDocument/2006/relationships/hyperlink" Id="rId20" Target="/guidance/security/it-computer-security/accessing-moj-it-systems-overseas/taking-equipment-overseas/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23" Target="mailto:OperationalSecurityTeam@justice.gov.uk" TargetMode="External" /><Relationship Type="http://schemas.openxmlformats.org/officeDocument/2006/relationships/hyperlink" Id="rId25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/guidance/security/it-computer-security/acceptable-use/" TargetMode="External" /><Relationship Type="http://schemas.openxmlformats.org/officeDocument/2006/relationships/hyperlink" Id="rId20" Target="/guidance/security/it-computer-security/accessing-moj-it-systems-overseas/taking-equipment-overseas/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23" Target="mailto:OperationalSecurityTeam@justice.gov.uk" TargetMode="External" /><Relationship Type="http://schemas.openxmlformats.org/officeDocument/2006/relationships/hyperlink" Id="rId25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2021-06-28T12:00:29Z</dcterms:created>
  <dcterms:modified xsi:type="dcterms:W3CDTF">2021-06-28T12:00:29Z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