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
        </w:rPr>
        <w:t xml:space="preserve">CAN NOT</w:t>
      </w:r>
      <w:r>
        <w:t xml:space="preserve"> </w:t>
      </w:r>
      <w:r>
        <w:t xml:space="preserve">transfer the higher level of clearance as the</w:t>
      </w:r>
      <w:r>
        <w:t xml:space="preserve"> </w:t>
      </w:r>
      <w:r>
        <w:rPr>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
        </w:rPr>
        <w:t xml:space="preserve">SHALL</w:t>
      </w:r>
      <w:r>
        <w:t xml:space="preserve"> </w:t>
      </w:r>
      <w:r>
        <w:t xml:space="preserve">have submitted their Security Questionnaire on the NSVS portal. This does not extend to Contractors and Agency staff, who</w:t>
      </w:r>
      <w:r>
        <w:t xml:space="preserve"> </w:t>
      </w:r>
      <w:r>
        <w:rPr>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2021-07-01T13:55:51Z</dcterms:created>
  <dcterms:modified xsi:type="dcterms:W3CDTF">2021-07-01T13:55:51Z</dcterms:modified>
</cp:coreProperties>
</file>

<file path=docProps/custom.xml><?xml version="1.0" encoding="utf-8"?>
<Properties xmlns="http://schemas.openxmlformats.org/officeDocument/2006/custom-properties" xmlns:vt="http://schemas.openxmlformats.org/officeDocument/2006/docPropsVTypes"/>
</file>