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overseas-travel"/>
    <w:p>
      <w:pPr>
        <w:pStyle w:val="Heading1"/>
      </w:pPr>
      <w:r>
        <w:t xml:space="preserve">Overseas travel</w:t>
      </w:r>
    </w:p>
    <w:p>
      <w:pPr>
        <w:pStyle w:val="FirstParagraph"/>
      </w:pPr>
      <w:r>
        <w:rPr>
          <w:bCs/>
          <w:b/>
        </w:rPr>
        <w:t xml:space="preserve">If you are going on a work trip or holiday overseas and you need to take your MoJ IT devices, you must remain vigilant especially when visiting high risk countries.</w:t>
      </w:r>
    </w:p>
    <w:p>
      <w:pPr>
        <w:pStyle w:val="BodyText"/>
      </w:pPr>
      <w:r>
        <w:t xml:space="preserve">As a government worker with access to sensitive information, you are at risk from espionage, intellectual property theft and a range of other threats from hostile third parties as well as foreign intelligence services. These risks can increase when you are overseas, as detailed in the</w:t>
      </w:r>
      <w:r>
        <w:t xml:space="preserve"> </w:t>
      </w:r>
      <w:hyperlink r:id="rId20">
        <w:r>
          <w:rPr>
            <w:rStyle w:val="Hyperlink"/>
          </w:rPr>
          <w:t xml:space="preserve">Overseas Travel Guide</w:t>
        </w:r>
      </w:hyperlink>
      <w:r>
        <w:t xml:space="preserve">.</w:t>
      </w:r>
    </w:p>
    <w:p>
      <w:pPr>
        <w:pStyle w:val="BodyText"/>
      </w:pPr>
      <w:r>
        <w:t xml:space="preserve">Before you travel on business, you must seek approval from your Senior Line Manager. You must also inform the security team fifteen days before either a holiday or business trip if you are travelling to or through high-risk countries.</w:t>
      </w:r>
    </w:p>
    <w:p>
      <w:pPr>
        <w:pStyle w:val="BodyText"/>
      </w:pPr>
      <w:r>
        <w:t xml:space="preserve">If you are subject to a STRAP briefing you must notify the security team of your intended travel to or through any country (excluding countries in Western Europe, North America, Australia or New Zealand).</w:t>
      </w:r>
    </w:p>
    <w:p>
      <w:pPr>
        <w:pStyle w:val="BodyText"/>
      </w:pPr>
      <w:r>
        <w:t xml:space="preserve">The</w:t>
      </w:r>
      <w:r>
        <w:t xml:space="preserve"> </w:t>
      </w:r>
      <w:hyperlink r:id="rId20">
        <w:r>
          <w:rPr>
            <w:rStyle w:val="Hyperlink"/>
          </w:rPr>
          <w:t xml:space="preserve">Overseas Travel Guide</w:t>
        </w:r>
      </w:hyperlink>
      <w:r>
        <w:t xml:space="preserve"> </w:t>
      </w:r>
      <w:r>
        <w:t xml:space="preserve">provides detailed guidance before you travel.</w:t>
      </w:r>
    </w:p>
    <w:p>
      <w:pPr>
        <w:pStyle w:val="BodyText"/>
      </w:pPr>
      <w:r>
        <w:t xml:space="preserve">Mobile roaming should be requested via the</w:t>
      </w:r>
      <w:r>
        <w:t xml:space="preserve"> </w:t>
      </w:r>
      <w:hyperlink r:id="rId21">
        <w:r>
          <w:rPr>
            <w:rStyle w:val="Hyperlink"/>
          </w:rPr>
          <w:t xml:space="preserve">Service-Now IT Catalogue</w:t>
        </w:r>
      </w:hyperlink>
      <w:r>
        <w:t xml:space="preserve">.</w:t>
      </w:r>
    </w:p>
    <w:p>
      <w:pPr>
        <w:pStyle w:val="BodyText"/>
      </w:pPr>
    </w:p>
    <w:bookmarkStart w:id="24" w:name="documents"/>
    <w:p>
      <w:pPr>
        <w:pStyle w:val="Heading2"/>
      </w:pPr>
      <w:r>
        <w:t xml:space="preserve">Documents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Overseas Travel Guide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Overseas travel form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Overseas working decision tree</w:t>
        </w:r>
      </w:hyperlink>
      <w:r>
        <w:t xml:space="preserve"> </w:t>
      </w:r>
      <w:r>
        <w:t xml:space="preserve">– Step by step guide on how you can request to work remotely overseas during COVID-19</w:t>
      </w:r>
    </w:p>
    <w:p>
      <w:pPr>
        <w:pStyle w:val="FirstParagraph"/>
      </w:pPr>
    </w:p>
    <w:bookmarkEnd w:id="24"/>
    <w:bookmarkStart w:id="26" w:name="related-pages"/>
    <w:p>
      <w:pPr>
        <w:pStyle w:val="Heading2"/>
      </w:pPr>
      <w:r>
        <w:t xml:space="preserve">Related pages</w:t>
      </w:r>
    </w:p>
    <w:p>
      <w:pPr>
        <w:numPr>
          <w:ilvl w:val="0"/>
          <w:numId w:val="1002"/>
        </w:numPr>
        <w:pStyle w:val="Compact"/>
      </w:pPr>
      <w:hyperlink r:id="rId25">
        <w:r>
          <w:rPr>
            <w:rStyle w:val="Hyperlink"/>
          </w:rPr>
          <w:t xml:space="preserve">Remote working – during COVID-19</w:t>
        </w:r>
      </w:hyperlink>
    </w:p>
    <w:p>
      <w:pPr>
        <w:pStyle w:val="FirstParagraph"/>
      </w:pPr>
    </w:p>
    <w:bookmarkEnd w:id="26"/>
    <w:bookmarkStart w:id="28" w:name="external-websites"/>
    <w:p>
      <w:pPr>
        <w:pStyle w:val="Heading2"/>
      </w:pPr>
      <w:r>
        <w:t xml:space="preserve">External websites</w:t>
      </w:r>
    </w:p>
    <w:p>
      <w:pPr>
        <w:numPr>
          <w:ilvl w:val="0"/>
          <w:numId w:val="1003"/>
        </w:numPr>
        <w:pStyle w:val="Compact"/>
      </w:pPr>
      <w:hyperlink r:id="rId27">
        <w:r>
          <w:rPr>
            <w:rStyle w:val="Hyperlink"/>
          </w:rPr>
          <w:t xml:space="preserve">FCO Foreign and Commonwealth Office</w:t>
        </w:r>
      </w:hyperlink>
    </w:p>
    <w:p>
      <w:pPr>
        <w:pStyle w:val="FirstParagraph"/>
      </w:pPr>
    </w:p>
    <w:bookmarkEnd w:id="28"/>
    <w:bookmarkStart w:id="31" w:name="contacts"/>
    <w:p>
      <w:pPr>
        <w:pStyle w:val="Heading2"/>
      </w:pPr>
      <w:r>
        <w:t xml:space="preserve">Contacts</w:t>
      </w:r>
    </w:p>
    <w:p>
      <w:pPr>
        <w:numPr>
          <w:ilvl w:val="0"/>
          <w:numId w:val="1004"/>
        </w:numPr>
        <w:pStyle w:val="Compact"/>
      </w:pPr>
      <w:hyperlink r:id="rId29">
        <w:r>
          <w:rPr>
            <w:rStyle w:val="Hyperlink"/>
          </w:rPr>
          <w:t xml:space="preserve">Operational Security Team</w:t>
        </w:r>
      </w:hyperlink>
    </w:p>
    <w:p>
      <w:pPr>
        <w:numPr>
          <w:ilvl w:val="0"/>
          <w:numId w:val="1004"/>
        </w:numPr>
        <w:pStyle w:val="Compact"/>
      </w:pPr>
      <w:hyperlink r:id="rId30">
        <w:r>
          <w:rPr>
            <w:rStyle w:val="Hyperlink"/>
          </w:rPr>
          <w:t xml:space="preserve">MoJ Group Security</w:t>
        </w:r>
      </w:hyperlink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/documents/2020/03/overseas-travel-form.docx" TargetMode="External" /><Relationship Type="http://schemas.openxmlformats.org/officeDocument/2006/relationships/hyperlink" Id="rId20" Target="/documents/2020/03/overseas-travel-guide.docx" TargetMode="External" /><Relationship Type="http://schemas.openxmlformats.org/officeDocument/2006/relationships/hyperlink" Id="rId23" Target="/documents/2020/09/overseas-working-decision-tree.docx" TargetMode="External" /><Relationship Type="http://schemas.openxmlformats.org/officeDocument/2006/relationships/hyperlink" Id="rId25" Target="/guidance/security/emergencies/coronavirus-guidance/security/remote-working/" TargetMode="External" /><Relationship Type="http://schemas.openxmlformats.org/officeDocument/2006/relationships/hyperlink" Id="rId27" Target="http://www.fco.gov.uk/en/travel-and-living-abroad" TargetMode="External" /><Relationship Type="http://schemas.openxmlformats.org/officeDocument/2006/relationships/hyperlink" Id="rId21" Target="https://mojprod.service-now.com/moj_sp" TargetMode="External" /><Relationship Type="http://schemas.openxmlformats.org/officeDocument/2006/relationships/hyperlink" Id="rId29" Target="mailto:OperationalSecurityTeam@justice.gov.uk" TargetMode="External" /><Relationship Type="http://schemas.openxmlformats.org/officeDocument/2006/relationships/hyperlink" Id="rId30" Target="mailto:mojgroupsecurity@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/documents/2020/03/overseas-travel-form.docx" TargetMode="External" /><Relationship Type="http://schemas.openxmlformats.org/officeDocument/2006/relationships/hyperlink" Id="rId20" Target="/documents/2020/03/overseas-travel-guide.docx" TargetMode="External" /><Relationship Type="http://schemas.openxmlformats.org/officeDocument/2006/relationships/hyperlink" Id="rId23" Target="/documents/2020/09/overseas-working-decision-tree.docx" TargetMode="External" /><Relationship Type="http://schemas.openxmlformats.org/officeDocument/2006/relationships/hyperlink" Id="rId25" Target="/guidance/security/emergencies/coronavirus-guidance/security/remote-working/" TargetMode="External" /><Relationship Type="http://schemas.openxmlformats.org/officeDocument/2006/relationships/hyperlink" Id="rId27" Target="http://www.fco.gov.uk/en/travel-and-living-abroad" TargetMode="External" /><Relationship Type="http://schemas.openxmlformats.org/officeDocument/2006/relationships/hyperlink" Id="rId21" Target="https://mojprod.service-now.com/moj_sp" TargetMode="External" /><Relationship Type="http://schemas.openxmlformats.org/officeDocument/2006/relationships/hyperlink" Id="rId29" Target="mailto:OperationalSecurityTeam@justice.gov.uk" TargetMode="External" /><Relationship Type="http://schemas.openxmlformats.org/officeDocument/2006/relationships/hyperlink" Id="rId30" Target="mailto:mojgroup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2021-06-14T10:07:30Z</dcterms:created>
  <dcterms:modified xsi:type="dcterms:W3CDTF">2021-06-14T10:07:30Z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