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#Overseas travel</w:t>
      </w:r>
    </w:p>
    <w:p>
      <w:pPr>
        <w:pStyle w:val="BodyText"/>
      </w:pPr>
      <w:r>
        <w:rPr>
          <w:bCs/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p>
      <w:pPr>
        <w:pStyle w:val="BodyText"/>
      </w:pPr>
      <w:r>
        <w:t xml:space="preserve">##Documents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p>
      <w:pPr>
        <w:pStyle w:val="FirstParagraph"/>
      </w:pPr>
      <w:r>
        <w:t xml:space="preserve">##Related pages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Remote working – during COVID-19</w:t>
        </w:r>
      </w:hyperlink>
    </w:p>
    <w:p>
      <w:pPr>
        <w:pStyle w:val="FirstParagraph"/>
      </w:pPr>
      <w:r>
        <w:t xml:space="preserve">##External websites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FCO Foreign and Commonwealth Office</w:t>
        </w:r>
      </w:hyperlink>
    </w:p>
    <w:p>
      <w:pPr>
        <w:pStyle w:val="FirstParagraph"/>
      </w:pPr>
      <w:r>
        <w:t xml:space="preserve">##Contacts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MoJ Group Security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2021-07-08T13:12:32Z</dcterms:created>
  <dcterms:modified xsi:type="dcterms:W3CDTF">2021-07-08T13:12:32Z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