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ersonnel-security-clearances"/>
    <w:p>
      <w:pPr>
        <w:pStyle w:val="Heading1"/>
      </w:pPr>
      <w:r>
        <w:t xml:space="preserve">Personnel security clearances</w:t>
      </w:r>
    </w:p>
    <w:p>
      <w:pPr>
        <w:pStyle w:val="FirstParagraph"/>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bookmarkStart w:id="25" w:name="national-security-clearances"/>
    <w:p>
      <w:pPr>
        <w:pStyle w:val="Heading2"/>
      </w:pPr>
      <w:r>
        <w:t xml:space="preserve">National Security Clearances</w:t>
      </w:r>
    </w:p>
    <w:p>
      <w:pPr>
        <w:pStyle w:val="FirstParagraph"/>
      </w:pPr>
      <w:r>
        <w:t xml:space="preserve">The MoJ will advise on a case-by-case basis if an individual requires a</w:t>
      </w:r>
      <w:r>
        <w:t xml:space="preserve"> </w:t>
      </w:r>
      <w:hyperlink r:id="rId24">
        <w:r>
          <w:rPr>
            <w:rStyle w:val="Hyperlink"/>
          </w:rPr>
          <w:t xml:space="preserve">national security vetting and clearance</w:t>
        </w:r>
      </w:hyperlink>
      <w:r>
        <w:t xml:space="preserve">.</w:t>
      </w: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