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6b35dbd7284cbabc56378b47c6e2ce6f01414c6"/>
    <w:p>
      <w:pPr>
        <w:pStyle w:val="Heading1"/>
      </w:pPr>
      <w:r>
        <w:t xml:space="preserve">Pre-Employment Screening and Vetting of External Candidates - FAQs</w:t>
      </w:r>
    </w:p>
    <w:p>
      <w:pPr>
        <w:pStyle w:val="FirstParagraph"/>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bookmarkStart w:id="22" w:name="X6cc43910d8151ce413155513b1cbfebe884c64e"/>
    <w:p>
      <w:pPr>
        <w:pStyle w:val="Heading2"/>
      </w:pPr>
      <w:r>
        <w:t xml:space="preserve">Section 1: Pre-employment screening for directly employed staff</w:t>
      </w:r>
    </w:p>
    <w:bookmarkEnd w:id="22"/>
    <w:bookmarkStart w:id="24" w:name="q1.-what-is-pre-employment-screening"/>
    <w:p>
      <w:pPr>
        <w:pStyle w:val="Heading2"/>
      </w:pPr>
      <w:r>
        <w:t xml:space="preserve">Q1. What is pre-employment screening?</w:t>
      </w:r>
    </w:p>
    <w:p>
      <w:pPr>
        <w:pStyle w:val="FirstParagraph"/>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3">
        <w:r>
          <w:rPr>
            <w:rStyle w:val="Hyperlink"/>
          </w:rPr>
          <w:t xml:space="preserve">NSV</w:t>
        </w:r>
      </w:hyperlink>
      <w:r>
        <w:t xml:space="preserve"> </w:t>
      </w:r>
      <w:r>
        <w:t xml:space="preserve">is separate and additional to pre-employment screening checks.</w:t>
      </w:r>
    </w:p>
    <w:bookmarkEnd w:id="24"/>
    <w:bookmarkStart w:id="25" w:name="q2.-what-is-bpss"/>
    <w:p>
      <w:pPr>
        <w:pStyle w:val="Heading2"/>
      </w:pPr>
      <w:r>
        <w:t xml:space="preserve">Q2. What is BPSS?</w:t>
      </w:r>
    </w:p>
    <w:p>
      <w:pPr>
        <w:pStyle w:val="FirstParagraph"/>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bookmarkEnd w:id="25"/>
    <w:bookmarkStart w:id="26" w:name="X74838f09e3688ef26ad5ad5508f58d6c13e62f7"/>
    <w:p>
      <w:pPr>
        <w:pStyle w:val="Heading2"/>
      </w:pPr>
      <w:r>
        <w:t xml:space="preserve">Q3. How does the vacancy manager know what level of clearance a role requires?</w:t>
      </w:r>
    </w:p>
    <w:p>
      <w:pPr>
        <w:pStyle w:val="FirstParagraph"/>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bookmarkEnd w:id="26"/>
    <w:bookmarkStart w:id="27" w:name="X163a56187c22b2aa26576918550cde5420f310a"/>
    <w:p>
      <w:pPr>
        <w:pStyle w:val="Heading2"/>
      </w:pPr>
      <w:r>
        <w:t xml:space="preserve">Q4. What is the process for completing pre-employment checks?</w:t>
      </w:r>
    </w:p>
    <w:p>
      <w:pPr>
        <w:pStyle w:val="FirstParagraph"/>
      </w:pPr>
      <w:r>
        <w:t xml:space="preserve">This depends on how the candidate is being recruited, and their level in the organisation.</w:t>
      </w:r>
    </w:p>
    <w:bookmarkEnd w:id="27"/>
    <w:bookmarkStart w:id="28" w:name="X8166a2e317ff164fbfdcb8b2ac5d29c3c2f8aa3"/>
    <w:p>
      <w:pPr>
        <w:pStyle w:val="Heading2"/>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bookmarkEnd w:id="28"/>
    <w:bookmarkStart w:id="29" w:name="scs-grades"/>
    <w:p>
      <w:pPr>
        <w:pStyle w:val="Heading2"/>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bookmarkEnd w:id="29"/>
    <w:bookmarkStart w:id="30" w:name="non-directly-employed-staff"/>
    <w:p>
      <w:pPr>
        <w:pStyle w:val="Heading2"/>
      </w:pPr>
      <w:r>
        <w:t xml:space="preserve">Non-directly employed staff</w:t>
      </w:r>
    </w:p>
    <w:p>
      <w:pPr>
        <w:pStyle w:val="FirstParagraph"/>
      </w:pPr>
      <w:r>
        <w:t xml:space="preserve">See</w:t>
      </w:r>
      <w:r>
        <w:t xml:space="preserve"> </w:t>
      </w:r>
      <w:hyperlink w:anchor="X744c674349673ece6a674e5cccf451c1e704a59">
        <w:r>
          <w:rPr>
            <w:rStyle w:val="Hyperlink"/>
          </w:rPr>
          <w:t xml:space="preserve">Section 2</w:t>
        </w:r>
      </w:hyperlink>
      <w:r>
        <w:t xml:space="preserve">.</w:t>
      </w:r>
    </w:p>
    <w:bookmarkEnd w:id="30"/>
    <w:bookmarkStart w:id="31" w:name="X54e84fe424b114954862faaa2c203e94fa9cd97"/>
    <w:p>
      <w:pPr>
        <w:pStyle w:val="Heading2"/>
      </w:pPr>
      <w:r>
        <w:t xml:space="preserve">Q5. How long do the pre-employment and vetting checks take?</w:t>
      </w:r>
    </w:p>
    <w:p>
      <w:pPr>
        <w:pStyle w:val="FirstParagraph"/>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bookmarkEnd w:id="31"/>
    <w:bookmarkStart w:id="33" w:name="X744c674349673ece6a674e5cccf451c1e704a59"/>
    <w:p>
      <w:pPr>
        <w:pStyle w:val="Heading2"/>
      </w:pPr>
      <w:r>
        <w:t xml:space="preserve">Section 2: Staff recruited from external sources (non-directly employed)</w:t>
      </w:r>
    </w:p>
    <w:p>
      <w:pPr>
        <w:pStyle w:val="FirstParagraph"/>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32">
        <w:r>
          <w:rPr>
            <w:rStyle w:val="Hyperlink"/>
          </w:rPr>
          <w:t xml:space="preserve">Intranet</w:t>
        </w:r>
      </w:hyperlink>
      <w:r>
        <w:t xml:space="preserve">.</w:t>
      </w:r>
    </w:p>
    <w:bookmarkEnd w:id="33"/>
    <w:bookmarkStart w:id="34" w:name="if-you-have-posts-that-require-nsv"/>
    <w:p>
      <w:pPr>
        <w:pStyle w:val="Heading2"/>
      </w:pPr>
      <w:r>
        <w:t xml:space="preserve">If you have posts that require NSV</w:t>
      </w:r>
    </w:p>
    <w:p>
      <w:pPr>
        <w:pStyle w:val="FirstParagraph"/>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bookmarkEnd w:id="34"/>
    <w:bookmarkStart w:id="35" w:name="section-3-national-security-vetting"/>
    <w:p>
      <w:pPr>
        <w:pStyle w:val="Heading2"/>
      </w:pPr>
      <w:r>
        <w:t xml:space="preserve">Section 3: National Security Vetting</w:t>
      </w:r>
    </w:p>
    <w:bookmarkEnd w:id="35"/>
    <w:bookmarkStart w:id="36" w:name="X8e022a1a621396ad3828d700dada2cf8f498088"/>
    <w:p>
      <w:pPr>
        <w:pStyle w:val="Heading2"/>
      </w:pPr>
      <w:r>
        <w:t xml:space="preserve">Q1. What is National Security Vetting (NSV)?</w:t>
      </w:r>
    </w:p>
    <w:p>
      <w:pPr>
        <w:pStyle w:val="FirstParagraph"/>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bookmarkEnd w:id="36"/>
    <w:bookmarkStart w:id="37" w:name="Xa66b32237d64f7d57c01f697929c8b3743234fa"/>
    <w:p>
      <w:pPr>
        <w:pStyle w:val="Heading2"/>
      </w:pPr>
      <w:r>
        <w:t xml:space="preserve">Q2. How long does national security vetting take?</w:t>
      </w:r>
    </w:p>
    <w:p>
      <w:pPr>
        <w:pStyle w:val="FirstParagraph"/>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bookmarkEnd w:id="37"/>
    <w:bookmarkStart w:id="39" w:name="X111c2c78bc07d63ec4e23a158ac11b03311afc6"/>
    <w:p>
      <w:pPr>
        <w:pStyle w:val="Heading2"/>
      </w:pPr>
      <w:r>
        <w:t xml:space="preserve">Q3. NSV takes too long, can the candidate start at BPSS and apply for NSV once they are in post?</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38">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3">
        <w:r>
          <w:rPr>
            <w:rStyle w:val="Hyperlink"/>
          </w:rPr>
          <w:t xml:space="preserve">here</w:t>
        </w:r>
      </w:hyperlink>
      <w:r>
        <w:t xml:space="preserve">.</w:t>
      </w:r>
    </w:p>
    <w:bookmarkEnd w:id="39"/>
    <w:bookmarkStart w:id="40" w:name="section-4-applying-for-nsv"/>
    <w:p>
      <w:pPr>
        <w:pStyle w:val="Heading2"/>
      </w:pPr>
      <w:r>
        <w:t xml:space="preserve">Section 4: Applying for NSV</w:t>
      </w:r>
    </w:p>
    <w:bookmarkEnd w:id="40"/>
    <w:bookmarkStart w:id="41" w:name="X1cac651be23c60306fc6c9f72817bbdd83b056a"/>
    <w:p>
      <w:pPr>
        <w:pStyle w:val="Heading2"/>
      </w:pPr>
      <w:r>
        <w:t xml:space="preserve">Q1. I submitted an NSV request several weeks ago, how do I find out where it is?</w:t>
      </w:r>
    </w:p>
    <w:p>
      <w:pPr>
        <w:pStyle w:val="FirstParagraph"/>
      </w:pPr>
      <w:r>
        <w:t xml:space="preserve">Contact the SSCL contact centre on 0845 241 5359 (option 1). SSCL are responsible for the registration and sponsoring of all applications for the NSVS portal.</w:t>
      </w:r>
    </w:p>
    <w:bookmarkEnd w:id="41"/>
    <w:bookmarkStart w:id="42" w:name="Xb618956792a86f0974a8917f9b2ecf7e12b18cd"/>
    <w:p>
      <w:pPr>
        <w:pStyle w:val="Heading2"/>
      </w:pPr>
      <w:r>
        <w:t xml:space="preserve">Q2. SSCL have told me that they have completed sponsors’ actions, what does that mean?</w:t>
      </w:r>
    </w:p>
    <w:p>
      <w:pPr>
        <w:pStyle w:val="FirstParagraph"/>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bookmarkEnd w:id="42"/>
    <w:bookmarkStart w:id="43" w:name="Xa85f8343e3643d9039e78818fe228fb46b42226"/>
    <w:p>
      <w:pPr>
        <w:pStyle w:val="Heading2"/>
      </w:pPr>
      <w:r>
        <w:t xml:space="preserve">Q3. Why is the candidate required to fill in forms on the NSVS portal and provide information that may already be held elsewhere in the recruitment process?</w:t>
      </w:r>
    </w:p>
    <w:p>
      <w:pPr>
        <w:pStyle w:val="FirstParagraph"/>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bookmarkEnd w:id="43"/>
    <w:bookmarkStart w:id="44" w:name="Xa31bd214d29b2e746671374a5a4a3c5492be1a8"/>
    <w:p>
      <w:pPr>
        <w:pStyle w:val="Heading2"/>
      </w:pPr>
      <w:r>
        <w:t xml:space="preserve">Q4. What if the candidate doesn’t complete specific dates and details for the Security Questionnaire?</w:t>
      </w:r>
    </w:p>
    <w:p>
      <w:pPr>
        <w:pStyle w:val="FirstParagraph"/>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bookmarkEnd w:id="44"/>
    <w:bookmarkStart w:id="45" w:name="X9ea0833d185771c3d901e2e4131b12653f0d3a2"/>
    <w:p>
      <w:pPr>
        <w:pStyle w:val="Heading2"/>
      </w:pPr>
      <w:r>
        <w:t xml:space="preserve">Q5. What happens if the candidate leaves out information?</w:t>
      </w:r>
    </w:p>
    <w:p>
      <w:pPr>
        <w:pStyle w:val="FirstParagraph"/>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bookmarkEnd w:id="45"/>
    <w:bookmarkStart w:id="46" w:name="X7f52e73cc739b853c1047ad5ca7c9a68bceb5c4"/>
    <w:p>
      <w:pPr>
        <w:pStyle w:val="Heading2"/>
      </w:pPr>
      <w:r>
        <w:t xml:space="preserve">Q6. My candidate completed the national security vetting application some time ago and hasn’t heard anything, who can I check this with?</w:t>
      </w:r>
    </w:p>
    <w:p>
      <w:pPr>
        <w:pStyle w:val="FirstParagraph"/>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3">
        <w:r>
          <w:rPr>
            <w:rStyle w:val="Hyperlink"/>
          </w:rPr>
          <w:t xml:space="preserve">here</w:t>
        </w:r>
      </w:hyperlink>
      <w:r>
        <w:t xml:space="preserve">.</w:t>
      </w:r>
    </w:p>
    <w:bookmarkEnd w:id="46"/>
    <w:bookmarkStart w:id="47" w:name="Xa6827e1ba52fe826ad8b7a0620e9899ae46b890"/>
    <w:p>
      <w:pPr>
        <w:pStyle w:val="Heading2"/>
      </w:pPr>
      <w:r>
        <w:t xml:space="preserve">Q7. Why can’t candidates use an Apple machine or iPad to submit the NSV security questionnaire?</w:t>
      </w:r>
    </w:p>
    <w:p>
      <w:pPr>
        <w:pStyle w:val="FirstParagraph"/>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bookmarkEnd w:id="47"/>
    <w:bookmarkStart w:id="48" w:name="X3930815f2d9e9ac0b39e2219ce8596359e746be"/>
    <w:p>
      <w:pPr>
        <w:pStyle w:val="Heading2"/>
      </w:pPr>
      <w:r>
        <w:t xml:space="preserve">Section 5: Changes to roles or personal circumstances</w:t>
      </w:r>
    </w:p>
    <w:p>
      <w:pPr>
        <w:pStyle w:val="FirstParagraph"/>
      </w:pPr>
      <w:r>
        <w:t xml:space="preserve">This section contains information for managers, and for staff who are already in the MoJ, regarding changes to roles or personal circumstances.</w:t>
      </w:r>
    </w:p>
    <w:bookmarkEnd w:id="48"/>
    <w:bookmarkStart w:id="49" w:name="X483125f5f86ab4beada7c5c20cd8ae9a4053c82"/>
    <w:p>
      <w:pPr>
        <w:pStyle w:val="Heading2"/>
      </w:pPr>
      <w:r>
        <w:t xml:space="preserve">Q1. I am a manager and I think a member of my team needs a national security vetting clearance to do a new piece of work. What should I do?</w:t>
      </w:r>
    </w:p>
    <w:p>
      <w:pPr>
        <w:pStyle w:val="FirstParagraph"/>
      </w:pPr>
      <w:r>
        <w:t xml:space="preserve">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bookmarkEnd w:id="49"/>
    <w:bookmarkStart w:id="50" w:name="X2718dd9d34be8870c471f9a392eafe2c463cb31"/>
    <w:p>
      <w:pPr>
        <w:pStyle w:val="Heading2"/>
      </w:pPr>
      <w:r>
        <w:t xml:space="preserve">Q2. My national security vetting clearance is going to expire soon, what should I do?</w:t>
      </w:r>
    </w:p>
    <w:p>
      <w:pPr>
        <w:pStyle w:val="FirstParagraph"/>
      </w:pPr>
      <w:r>
        <w:t xml:space="preserve">Speak to your NSVC. They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bookmarkEnd w:id="50"/>
    <w:bookmarkStart w:id="53" w:name="Xe679c758a45d735758a6a1097ceb40d46ab7683"/>
    <w:p>
      <w:pPr>
        <w:pStyle w:val="Heading2"/>
      </w:pPr>
      <w:r>
        <w:t xml:space="preserve">Q3. My personal circumstances have changed, who should I advise?</w:t>
      </w:r>
    </w:p>
    <w:p>
      <w:pPr>
        <w:pStyle w:val="FirstParagraph"/>
      </w:pPr>
      <w:r>
        <w:t xml:space="preserve">For all changes in personal circumstances, contact Cluster 2 Personnel Risk Management by emailing</w:t>
      </w:r>
      <w:r>
        <w:t xml:space="preserve"> </w:t>
      </w:r>
      <w:hyperlink r:id="rId51">
        <w:r>
          <w:rPr>
            <w:rStyle w:val="Hyperlink"/>
          </w:rPr>
          <w:t xml:space="preserve">VettingAftercare@cluster2security.gov.uk</w:t>
        </w:r>
      </w:hyperlink>
      <w:r>
        <w:t xml:space="preserve">.</w:t>
      </w:r>
    </w:p>
    <w:p>
      <w:pPr>
        <w:pStyle w:val="BodyText"/>
      </w:pPr>
      <w:r>
        <w:t xml:space="preserve">You can find more information</w:t>
      </w:r>
      <w:r>
        <w:t xml:space="preserve"> </w:t>
      </w:r>
      <w:hyperlink r:id="rId52">
        <w:r>
          <w:rPr>
            <w:rStyle w:val="Hyperlink"/>
          </w:rPr>
          <w:t xml:space="preserve">here</w:t>
        </w:r>
      </w:hyperlink>
      <w:r>
        <w:t xml:space="preserve">.</w:t>
      </w:r>
    </w:p>
    <w:bookmarkEnd w:id="53"/>
    <w:bookmarkStart w:id="56" w:name="contacts"/>
    <w:p>
      <w:pPr>
        <w:pStyle w:val="Heading2"/>
      </w:pPr>
      <w:r>
        <w:t xml:space="preserve">Contacts</w:t>
      </w:r>
    </w:p>
    <w:p>
      <w:pPr>
        <w:pStyle w:val="FirstParagraph"/>
      </w:pPr>
      <w:r>
        <w:t xml:space="preserve">For any further questions relating to security, contact:</w:t>
      </w:r>
      <w:r>
        <w:t xml:space="preserve"> </w:t>
      </w:r>
      <w:hyperlink r:id="rId54">
        <w:r>
          <w:rPr>
            <w:rStyle w:val="Hyperlink"/>
          </w:rPr>
          <w:t xml:space="preserve">security@justice.gov.uk</w:t>
        </w:r>
      </w:hyperlink>
      <w:r>
        <w:t xml:space="preserve">, or for security advice, contact the</w:t>
      </w:r>
      <w:r>
        <w:t xml:space="preserve"> </w:t>
      </w:r>
      <w:hyperlink r:id="rId55">
        <w:r>
          <w:rPr>
            <w:rStyle w:val="Hyperlink"/>
          </w:rPr>
          <w:t xml:space="preserve">Cyber Assistance Team</w:t>
        </w:r>
      </w:hyperlink>
      <w:r>
        <w:t xml:space="preserve">.</w:t>
      </w:r>
    </w:p>
    <w:p>
      <w:r>
        <w:pict>
          <v:rect style="width:0;height:1.5pt" o:hralign="center" o:hrstd="t" o:hr="t"/>
        </w:pict>
      </w:r>
    </w:p>
    <w:bookmarkEnd w:id="56"/>
    <w:bookmarkStart w:id="5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7">
        <w:r>
          <w:rPr>
            <w:rStyle w:val="Hyperlink"/>
          </w:rPr>
          <w:t xml:space="preserve">IT policy content</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52"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32" Target="/guidance/security/personnel-security-prior-to-employment/" TargetMode="External" /><Relationship Type="http://schemas.openxmlformats.org/officeDocument/2006/relationships/hyperlink" Id="rId55" Target="mailto:CyberConsultancy@digital.justice.gov.uk" TargetMode="External" /><Relationship Type="http://schemas.openxmlformats.org/officeDocument/2006/relationships/hyperlink" Id="rId51" Target="mailto:VettingAftercare@cluster2security.gov.uk" TargetMode="External" /><Relationship Type="http://schemas.openxmlformats.org/officeDocument/2006/relationships/hyperlink" Id="rId57" Target="mailto:itpolicycontent@digital.justice.gov.uk" TargetMode="External" /><Relationship Type="http://schemas.openxmlformats.org/officeDocument/2006/relationships/hyperlink" Id="rId38" Target="mailto:mojgroupsecurity@justice.gov.uk" TargetMode="External" /><Relationship Type="http://schemas.openxmlformats.org/officeDocument/2006/relationships/hyperlink" Id="rId54"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52"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32" Target="/guidance/security/personnel-security-prior-to-employment/" TargetMode="External" /><Relationship Type="http://schemas.openxmlformats.org/officeDocument/2006/relationships/hyperlink" Id="rId55" Target="mailto:CyberConsultancy@digital.justice.gov.uk" TargetMode="External" /><Relationship Type="http://schemas.openxmlformats.org/officeDocument/2006/relationships/hyperlink" Id="rId51" Target="mailto:VettingAftercare@cluster2security.gov.uk" TargetMode="External" /><Relationship Type="http://schemas.openxmlformats.org/officeDocument/2006/relationships/hyperlink" Id="rId57" Target="mailto:itpolicycontent@digital.justice.gov.uk" TargetMode="External" /><Relationship Type="http://schemas.openxmlformats.org/officeDocument/2006/relationships/hyperlink" Id="rId38" Target="mailto:mojgroupsecurity@justice.gov.uk" TargetMode="External" /><Relationship Type="http://schemas.openxmlformats.org/officeDocument/2006/relationships/hyperlink" Id="rId54"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