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#Reporting an incident</w:t>
      </w:r>
    </w:p>
    <w:p>
      <w:pPr>
        <w:pStyle w:val="BodyText"/>
      </w:pPr>
      <w:r>
        <w:t xml:space="preserve">Ministry of Justice (MoJ) colleagues should visit</w:t>
      </w:r>
      <w:r>
        <w:t xml:space="preserve"> </w:t>
      </w:r>
      <w:hyperlink r:id="rId20">
        <w:r>
          <w:rPr>
            <w:rStyle w:val="Hyperlink"/>
          </w:rPr>
          <w:t xml:space="preserve">/guidance/security/report-a-security-incident/</w:t>
        </w:r>
      </w:hyperlink>
      <w:r>
        <w:t xml:space="preserve"> </w:t>
      </w:r>
      <w:r>
        <w:t xml:space="preserve">on the MoJ Intranet. 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##Feedback</w:t>
      </w:r>
    </w:p>
    <w:p>
      <w:pPr>
        <w:pStyle w:val="Body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 policy content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/guidance/security/report-a-security-incident/" TargetMode="Externa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2021-07-03T11:42:29Z</dcterms:created>
  <dcterms:modified xsi:type="dcterms:W3CDTF">2021-07-03T11:42:29Z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